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8752"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3F3871" w:rsidRDefault="00563785" w:rsidP="00563785">
      <w:pPr>
        <w:pStyle w:val="Sinespaciado"/>
        <w:tabs>
          <w:tab w:val="left" w:pos="6180"/>
        </w:tabs>
        <w:spacing w:line="276" w:lineRule="auto"/>
        <w:rPr>
          <w:rFonts w:ascii="Times New Roman" w:hAnsi="Times New Roman"/>
          <w:b/>
          <w:i/>
          <w:sz w:val="18"/>
          <w:lang w:eastAsia="es-EC"/>
        </w:rPr>
      </w:pPr>
      <w:r>
        <w:rPr>
          <w:rFonts w:ascii="Times New Roman" w:hAnsi="Times New Roman"/>
          <w:b/>
          <w:i/>
          <w:sz w:val="28"/>
          <w:lang w:eastAsia="es-EC"/>
        </w:rPr>
        <w:tab/>
      </w:r>
    </w:p>
    <w:p w:rsidR="00860394" w:rsidRPr="00860394" w:rsidRDefault="00860394" w:rsidP="00860394">
      <w:pPr>
        <w:pStyle w:val="Sinespaciado"/>
        <w:spacing w:line="276" w:lineRule="auto"/>
        <w:jc w:val="center"/>
        <w:rPr>
          <w:rFonts w:ascii="Times New Roman" w:hAnsi="Times New Roman"/>
          <w:b/>
          <w:bCs/>
          <w:i/>
          <w:iCs/>
          <w:color w:val="000000"/>
          <w:sz w:val="28"/>
          <w:szCs w:val="27"/>
        </w:rPr>
      </w:pPr>
      <w:r w:rsidRPr="00860394">
        <w:rPr>
          <w:rFonts w:ascii="Times New Roman" w:hAnsi="Times New Roman"/>
          <w:b/>
          <w:bCs/>
          <w:i/>
          <w:iCs/>
          <w:color w:val="000000"/>
          <w:sz w:val="28"/>
          <w:szCs w:val="27"/>
        </w:rPr>
        <w:t>Calidad del agua de la cuenca media del río Portoviejo.  Estrategias para mitigar la contaminación</w:t>
      </w:r>
      <w:bookmarkStart w:id="0" w:name="_GoBack"/>
      <w:bookmarkEnd w:id="0"/>
    </w:p>
    <w:p w:rsidR="00860394" w:rsidRPr="00860394" w:rsidRDefault="00860394" w:rsidP="00860394">
      <w:pPr>
        <w:pStyle w:val="Sinespaciado"/>
        <w:spacing w:line="276" w:lineRule="auto"/>
        <w:jc w:val="center"/>
        <w:rPr>
          <w:rFonts w:ascii="Times New Roman" w:hAnsi="Times New Roman"/>
          <w:b/>
          <w:bCs/>
          <w:i/>
          <w:iCs/>
          <w:color w:val="000000"/>
          <w:sz w:val="28"/>
          <w:szCs w:val="27"/>
        </w:rPr>
      </w:pPr>
    </w:p>
    <w:p w:rsidR="00860394" w:rsidRPr="00860394" w:rsidRDefault="00860394" w:rsidP="00860394">
      <w:pPr>
        <w:pStyle w:val="Sinespaciado"/>
        <w:spacing w:line="276" w:lineRule="auto"/>
        <w:jc w:val="center"/>
        <w:rPr>
          <w:rFonts w:ascii="Times New Roman" w:hAnsi="Times New Roman"/>
          <w:b/>
          <w:bCs/>
          <w:i/>
          <w:iCs/>
          <w:color w:val="000000"/>
          <w:sz w:val="28"/>
          <w:szCs w:val="27"/>
        </w:rPr>
      </w:pPr>
      <w:proofErr w:type="spellStart"/>
      <w:r w:rsidRPr="00860394">
        <w:rPr>
          <w:rFonts w:ascii="Times New Roman" w:hAnsi="Times New Roman"/>
          <w:b/>
          <w:bCs/>
          <w:i/>
          <w:iCs/>
          <w:color w:val="000000"/>
          <w:sz w:val="28"/>
          <w:szCs w:val="27"/>
        </w:rPr>
        <w:t>Water</w:t>
      </w:r>
      <w:proofErr w:type="spellEnd"/>
      <w:r w:rsidRPr="00860394">
        <w:rPr>
          <w:rFonts w:ascii="Times New Roman" w:hAnsi="Times New Roman"/>
          <w:b/>
          <w:bCs/>
          <w:i/>
          <w:iCs/>
          <w:color w:val="000000"/>
          <w:sz w:val="28"/>
          <w:szCs w:val="27"/>
        </w:rPr>
        <w:t xml:space="preserve"> </w:t>
      </w:r>
      <w:proofErr w:type="spellStart"/>
      <w:r w:rsidRPr="00860394">
        <w:rPr>
          <w:rFonts w:ascii="Times New Roman" w:hAnsi="Times New Roman"/>
          <w:b/>
          <w:bCs/>
          <w:i/>
          <w:iCs/>
          <w:color w:val="000000"/>
          <w:sz w:val="28"/>
          <w:szCs w:val="27"/>
        </w:rPr>
        <w:t>quality</w:t>
      </w:r>
      <w:proofErr w:type="spellEnd"/>
      <w:r w:rsidRPr="00860394">
        <w:rPr>
          <w:rFonts w:ascii="Times New Roman" w:hAnsi="Times New Roman"/>
          <w:b/>
          <w:bCs/>
          <w:i/>
          <w:iCs/>
          <w:color w:val="000000"/>
          <w:sz w:val="28"/>
          <w:szCs w:val="27"/>
        </w:rPr>
        <w:t xml:space="preserve"> of </w:t>
      </w:r>
      <w:proofErr w:type="spellStart"/>
      <w:r w:rsidRPr="00860394">
        <w:rPr>
          <w:rFonts w:ascii="Times New Roman" w:hAnsi="Times New Roman"/>
          <w:b/>
          <w:bCs/>
          <w:i/>
          <w:iCs/>
          <w:color w:val="000000"/>
          <w:sz w:val="28"/>
          <w:szCs w:val="27"/>
        </w:rPr>
        <w:t>the</w:t>
      </w:r>
      <w:proofErr w:type="spellEnd"/>
      <w:r w:rsidRPr="00860394">
        <w:rPr>
          <w:rFonts w:ascii="Times New Roman" w:hAnsi="Times New Roman"/>
          <w:b/>
          <w:bCs/>
          <w:i/>
          <w:iCs/>
          <w:color w:val="000000"/>
          <w:sz w:val="28"/>
          <w:szCs w:val="27"/>
        </w:rPr>
        <w:t xml:space="preserve"> </w:t>
      </w:r>
      <w:proofErr w:type="spellStart"/>
      <w:r w:rsidRPr="00860394">
        <w:rPr>
          <w:rFonts w:ascii="Times New Roman" w:hAnsi="Times New Roman"/>
          <w:b/>
          <w:bCs/>
          <w:i/>
          <w:iCs/>
          <w:color w:val="000000"/>
          <w:sz w:val="28"/>
          <w:szCs w:val="27"/>
        </w:rPr>
        <w:t>middle</w:t>
      </w:r>
      <w:proofErr w:type="spellEnd"/>
      <w:r w:rsidRPr="00860394">
        <w:rPr>
          <w:rFonts w:ascii="Times New Roman" w:hAnsi="Times New Roman"/>
          <w:b/>
          <w:bCs/>
          <w:i/>
          <w:iCs/>
          <w:color w:val="000000"/>
          <w:sz w:val="28"/>
          <w:szCs w:val="27"/>
        </w:rPr>
        <w:t xml:space="preserve"> </w:t>
      </w:r>
      <w:proofErr w:type="spellStart"/>
      <w:r w:rsidRPr="00860394">
        <w:rPr>
          <w:rFonts w:ascii="Times New Roman" w:hAnsi="Times New Roman"/>
          <w:b/>
          <w:bCs/>
          <w:i/>
          <w:iCs/>
          <w:color w:val="000000"/>
          <w:sz w:val="28"/>
          <w:szCs w:val="27"/>
        </w:rPr>
        <w:t>basin</w:t>
      </w:r>
      <w:proofErr w:type="spellEnd"/>
      <w:r w:rsidRPr="00860394">
        <w:rPr>
          <w:rFonts w:ascii="Times New Roman" w:hAnsi="Times New Roman"/>
          <w:b/>
          <w:bCs/>
          <w:i/>
          <w:iCs/>
          <w:color w:val="000000"/>
          <w:sz w:val="28"/>
          <w:szCs w:val="27"/>
        </w:rPr>
        <w:t xml:space="preserve"> of </w:t>
      </w:r>
      <w:proofErr w:type="spellStart"/>
      <w:r w:rsidRPr="00860394">
        <w:rPr>
          <w:rFonts w:ascii="Times New Roman" w:hAnsi="Times New Roman"/>
          <w:b/>
          <w:bCs/>
          <w:i/>
          <w:iCs/>
          <w:color w:val="000000"/>
          <w:sz w:val="28"/>
          <w:szCs w:val="27"/>
        </w:rPr>
        <w:t>the</w:t>
      </w:r>
      <w:proofErr w:type="spellEnd"/>
      <w:r w:rsidRPr="00860394">
        <w:rPr>
          <w:rFonts w:ascii="Times New Roman" w:hAnsi="Times New Roman"/>
          <w:b/>
          <w:bCs/>
          <w:i/>
          <w:iCs/>
          <w:color w:val="000000"/>
          <w:sz w:val="28"/>
          <w:szCs w:val="27"/>
        </w:rPr>
        <w:t xml:space="preserve"> Portoviejo </w:t>
      </w:r>
      <w:proofErr w:type="spellStart"/>
      <w:r w:rsidRPr="00860394">
        <w:rPr>
          <w:rFonts w:ascii="Times New Roman" w:hAnsi="Times New Roman"/>
          <w:b/>
          <w:bCs/>
          <w:i/>
          <w:iCs/>
          <w:color w:val="000000"/>
          <w:sz w:val="28"/>
          <w:szCs w:val="27"/>
        </w:rPr>
        <w:t>river</w:t>
      </w:r>
      <w:proofErr w:type="spellEnd"/>
      <w:r w:rsidRPr="00860394">
        <w:rPr>
          <w:rFonts w:ascii="Times New Roman" w:hAnsi="Times New Roman"/>
          <w:b/>
          <w:bCs/>
          <w:i/>
          <w:iCs/>
          <w:color w:val="000000"/>
          <w:sz w:val="28"/>
          <w:szCs w:val="27"/>
        </w:rPr>
        <w:t xml:space="preserve">. </w:t>
      </w:r>
      <w:proofErr w:type="spellStart"/>
      <w:r w:rsidRPr="00860394">
        <w:rPr>
          <w:rFonts w:ascii="Times New Roman" w:hAnsi="Times New Roman"/>
          <w:b/>
          <w:bCs/>
          <w:i/>
          <w:iCs/>
          <w:color w:val="000000"/>
          <w:sz w:val="28"/>
          <w:szCs w:val="27"/>
        </w:rPr>
        <w:t>Strategies</w:t>
      </w:r>
      <w:proofErr w:type="spellEnd"/>
      <w:r w:rsidRPr="00860394">
        <w:rPr>
          <w:rFonts w:ascii="Times New Roman" w:hAnsi="Times New Roman"/>
          <w:b/>
          <w:bCs/>
          <w:i/>
          <w:iCs/>
          <w:color w:val="000000"/>
          <w:sz w:val="28"/>
          <w:szCs w:val="27"/>
        </w:rPr>
        <w:t xml:space="preserve"> to </w:t>
      </w:r>
      <w:proofErr w:type="spellStart"/>
      <w:r w:rsidRPr="00860394">
        <w:rPr>
          <w:rFonts w:ascii="Times New Roman" w:hAnsi="Times New Roman"/>
          <w:b/>
          <w:bCs/>
          <w:i/>
          <w:iCs/>
          <w:color w:val="000000"/>
          <w:sz w:val="28"/>
          <w:szCs w:val="27"/>
        </w:rPr>
        <w:t>mitigate</w:t>
      </w:r>
      <w:proofErr w:type="spellEnd"/>
      <w:r w:rsidRPr="00860394">
        <w:rPr>
          <w:rFonts w:ascii="Times New Roman" w:hAnsi="Times New Roman"/>
          <w:b/>
          <w:bCs/>
          <w:i/>
          <w:iCs/>
          <w:color w:val="000000"/>
          <w:sz w:val="28"/>
          <w:szCs w:val="27"/>
        </w:rPr>
        <w:t xml:space="preserve"> </w:t>
      </w:r>
      <w:proofErr w:type="spellStart"/>
      <w:r w:rsidRPr="00860394">
        <w:rPr>
          <w:rFonts w:ascii="Times New Roman" w:hAnsi="Times New Roman"/>
          <w:b/>
          <w:bCs/>
          <w:i/>
          <w:iCs/>
          <w:color w:val="000000"/>
          <w:sz w:val="28"/>
          <w:szCs w:val="27"/>
        </w:rPr>
        <w:t>pollution</w:t>
      </w:r>
      <w:proofErr w:type="spellEnd"/>
    </w:p>
    <w:p w:rsidR="00860394" w:rsidRPr="00860394" w:rsidRDefault="00860394" w:rsidP="00860394">
      <w:pPr>
        <w:pStyle w:val="Sinespaciado"/>
        <w:spacing w:line="276" w:lineRule="auto"/>
        <w:jc w:val="center"/>
        <w:rPr>
          <w:rFonts w:ascii="Times New Roman" w:hAnsi="Times New Roman"/>
          <w:b/>
          <w:bCs/>
          <w:i/>
          <w:iCs/>
          <w:color w:val="000000"/>
          <w:sz w:val="28"/>
          <w:szCs w:val="27"/>
        </w:rPr>
      </w:pPr>
    </w:p>
    <w:p w:rsidR="00FF5C0F" w:rsidRPr="00AF7ABB" w:rsidRDefault="00860394" w:rsidP="00860394">
      <w:pPr>
        <w:pStyle w:val="Sinespaciado"/>
        <w:spacing w:line="276" w:lineRule="auto"/>
        <w:jc w:val="center"/>
        <w:rPr>
          <w:rFonts w:ascii="Times New Roman" w:hAnsi="Times New Roman"/>
          <w:b/>
          <w:bCs/>
          <w:i/>
          <w:iCs/>
          <w:color w:val="000000"/>
          <w:sz w:val="28"/>
          <w:szCs w:val="27"/>
        </w:rPr>
      </w:pPr>
      <w:proofErr w:type="spellStart"/>
      <w:r w:rsidRPr="00860394">
        <w:rPr>
          <w:rFonts w:ascii="Times New Roman" w:hAnsi="Times New Roman"/>
          <w:b/>
          <w:bCs/>
          <w:i/>
          <w:iCs/>
          <w:color w:val="000000"/>
          <w:sz w:val="28"/>
          <w:szCs w:val="27"/>
        </w:rPr>
        <w:t>Qualidade</w:t>
      </w:r>
      <w:proofErr w:type="spellEnd"/>
      <w:r w:rsidRPr="00860394">
        <w:rPr>
          <w:rFonts w:ascii="Times New Roman" w:hAnsi="Times New Roman"/>
          <w:b/>
          <w:bCs/>
          <w:i/>
          <w:iCs/>
          <w:color w:val="000000"/>
          <w:sz w:val="28"/>
          <w:szCs w:val="27"/>
        </w:rPr>
        <w:t xml:space="preserve"> da </w:t>
      </w:r>
      <w:proofErr w:type="spellStart"/>
      <w:r w:rsidRPr="00860394">
        <w:rPr>
          <w:rFonts w:ascii="Times New Roman" w:hAnsi="Times New Roman"/>
          <w:b/>
          <w:bCs/>
          <w:i/>
          <w:iCs/>
          <w:color w:val="000000"/>
          <w:sz w:val="28"/>
          <w:szCs w:val="27"/>
        </w:rPr>
        <w:t>água</w:t>
      </w:r>
      <w:proofErr w:type="spellEnd"/>
      <w:r w:rsidRPr="00860394">
        <w:rPr>
          <w:rFonts w:ascii="Times New Roman" w:hAnsi="Times New Roman"/>
          <w:b/>
          <w:bCs/>
          <w:i/>
          <w:iCs/>
          <w:color w:val="000000"/>
          <w:sz w:val="28"/>
          <w:szCs w:val="27"/>
        </w:rPr>
        <w:t xml:space="preserve"> da </w:t>
      </w:r>
      <w:proofErr w:type="spellStart"/>
      <w:r w:rsidRPr="00860394">
        <w:rPr>
          <w:rFonts w:ascii="Times New Roman" w:hAnsi="Times New Roman"/>
          <w:b/>
          <w:bCs/>
          <w:i/>
          <w:iCs/>
          <w:color w:val="000000"/>
          <w:sz w:val="28"/>
          <w:szCs w:val="27"/>
        </w:rPr>
        <w:t>bacia</w:t>
      </w:r>
      <w:proofErr w:type="spellEnd"/>
      <w:r w:rsidRPr="00860394">
        <w:rPr>
          <w:rFonts w:ascii="Times New Roman" w:hAnsi="Times New Roman"/>
          <w:b/>
          <w:bCs/>
          <w:i/>
          <w:iCs/>
          <w:color w:val="000000"/>
          <w:sz w:val="28"/>
          <w:szCs w:val="27"/>
        </w:rPr>
        <w:t xml:space="preserve"> </w:t>
      </w:r>
      <w:proofErr w:type="spellStart"/>
      <w:r w:rsidRPr="00860394">
        <w:rPr>
          <w:rFonts w:ascii="Times New Roman" w:hAnsi="Times New Roman"/>
          <w:b/>
          <w:bCs/>
          <w:i/>
          <w:iCs/>
          <w:color w:val="000000"/>
          <w:sz w:val="28"/>
          <w:szCs w:val="27"/>
        </w:rPr>
        <w:t>média</w:t>
      </w:r>
      <w:proofErr w:type="spellEnd"/>
      <w:r w:rsidRPr="00860394">
        <w:rPr>
          <w:rFonts w:ascii="Times New Roman" w:hAnsi="Times New Roman"/>
          <w:b/>
          <w:bCs/>
          <w:i/>
          <w:iCs/>
          <w:color w:val="000000"/>
          <w:sz w:val="28"/>
          <w:szCs w:val="27"/>
        </w:rPr>
        <w:t xml:space="preserve"> do rio Portoviejo. </w:t>
      </w:r>
      <w:proofErr w:type="spellStart"/>
      <w:r w:rsidRPr="00860394">
        <w:rPr>
          <w:rFonts w:ascii="Times New Roman" w:hAnsi="Times New Roman"/>
          <w:b/>
          <w:bCs/>
          <w:i/>
          <w:iCs/>
          <w:color w:val="000000"/>
          <w:sz w:val="28"/>
          <w:szCs w:val="27"/>
        </w:rPr>
        <w:t>Estratégias</w:t>
      </w:r>
      <w:proofErr w:type="spellEnd"/>
      <w:r w:rsidRPr="00860394">
        <w:rPr>
          <w:rFonts w:ascii="Times New Roman" w:hAnsi="Times New Roman"/>
          <w:b/>
          <w:bCs/>
          <w:i/>
          <w:iCs/>
          <w:color w:val="000000"/>
          <w:sz w:val="28"/>
          <w:szCs w:val="27"/>
        </w:rPr>
        <w:t xml:space="preserve"> para mitigar a </w:t>
      </w:r>
      <w:proofErr w:type="spellStart"/>
      <w:r w:rsidRPr="00860394">
        <w:rPr>
          <w:rFonts w:ascii="Times New Roman" w:hAnsi="Times New Roman"/>
          <w:b/>
          <w:bCs/>
          <w:i/>
          <w:iCs/>
          <w:color w:val="000000"/>
          <w:sz w:val="28"/>
          <w:szCs w:val="27"/>
        </w:rPr>
        <w:t>poluição</w:t>
      </w:r>
      <w:proofErr w:type="spellEnd"/>
    </w:p>
    <w:p w:rsidR="00FF5C0F" w:rsidRPr="00E74340" w:rsidRDefault="00FF5C0F" w:rsidP="00FF5C0F">
      <w:pPr>
        <w:pStyle w:val="Sinespaciado"/>
        <w:spacing w:line="276" w:lineRule="auto"/>
        <w:jc w:val="center"/>
        <w:rPr>
          <w:rFonts w:ascii="Times New Roman" w:hAnsi="Times New Roman"/>
          <w:b/>
          <w:bCs/>
          <w:i/>
          <w:iCs/>
          <w:color w:val="000000"/>
          <w:sz w:val="14"/>
          <w:szCs w:val="26"/>
        </w:rPr>
      </w:pP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924FA2" w:rsidRPr="003306BF" w:rsidRDefault="00860394" w:rsidP="00924FA2">
      <w:pPr>
        <w:spacing w:after="0" w:line="276" w:lineRule="auto"/>
        <w:jc w:val="center"/>
        <w:rPr>
          <w:rFonts w:ascii="Times New Roman" w:hAnsi="Times New Roman"/>
          <w:bCs/>
          <w:iCs/>
          <w:color w:val="000000"/>
          <w:sz w:val="24"/>
          <w:vertAlign w:val="superscript"/>
        </w:rPr>
      </w:pPr>
      <w:r w:rsidRPr="00860394">
        <w:rPr>
          <w:rFonts w:ascii="Times New Roman" w:hAnsi="Times New Roman"/>
          <w:bCs/>
          <w:iCs/>
          <w:color w:val="000000"/>
          <w:sz w:val="24"/>
        </w:rPr>
        <w:t>Julio Benito Intriago</w:t>
      </w:r>
      <w:r w:rsidR="000963C1">
        <w:rPr>
          <w:rFonts w:ascii="Times New Roman" w:hAnsi="Times New Roman"/>
          <w:bCs/>
          <w:iCs/>
          <w:color w:val="000000"/>
          <w:sz w:val="24"/>
        </w:rPr>
        <w:t>-</w:t>
      </w:r>
      <w:r w:rsidRPr="00860394">
        <w:rPr>
          <w:rFonts w:ascii="Times New Roman" w:hAnsi="Times New Roman"/>
          <w:bCs/>
          <w:iCs/>
          <w:color w:val="000000"/>
          <w:sz w:val="24"/>
        </w:rPr>
        <w:t>Flores</w:t>
      </w:r>
      <w:r w:rsidR="008205DC">
        <w:rPr>
          <w:rFonts w:ascii="Times New Roman" w:hAnsi="Times New Roman"/>
          <w:bCs/>
          <w:iCs/>
          <w:color w:val="000000"/>
          <w:sz w:val="24"/>
        </w:rPr>
        <w:t xml:space="preserve"> </w:t>
      </w:r>
      <w:r w:rsidR="00924FA2" w:rsidRPr="003306BF">
        <w:rPr>
          <w:rFonts w:ascii="Times New Roman" w:hAnsi="Times New Roman"/>
          <w:bCs/>
          <w:iCs/>
          <w:color w:val="000000"/>
          <w:sz w:val="24"/>
          <w:vertAlign w:val="superscript"/>
        </w:rPr>
        <w:t>I</w:t>
      </w:r>
    </w:p>
    <w:p w:rsidR="00D35154" w:rsidRPr="00D35154" w:rsidRDefault="00860394" w:rsidP="00D35154">
      <w:pPr>
        <w:spacing w:after="0" w:line="240" w:lineRule="auto"/>
        <w:jc w:val="center"/>
        <w:rPr>
          <w:rStyle w:val="Hipervnculo"/>
          <w:rFonts w:ascii="Times New Roman" w:hAnsi="Times New Roman"/>
          <w:sz w:val="24"/>
          <w:u w:val="none"/>
        </w:rPr>
      </w:pPr>
      <w:r w:rsidRPr="00860394">
        <w:rPr>
          <w:rStyle w:val="Hipervnculo"/>
          <w:rFonts w:ascii="Times New Roman" w:hAnsi="Times New Roman"/>
          <w:sz w:val="24"/>
          <w:u w:val="none"/>
        </w:rPr>
        <w:t>julio.intriago@hotmail.com</w:t>
      </w:r>
    </w:p>
    <w:p w:rsidR="00924FA2" w:rsidRPr="00DF2155" w:rsidRDefault="00860394" w:rsidP="00D35154">
      <w:pPr>
        <w:spacing w:after="0" w:line="240" w:lineRule="auto"/>
        <w:jc w:val="center"/>
        <w:rPr>
          <w:sz w:val="24"/>
        </w:rPr>
      </w:pPr>
      <w:r>
        <w:rPr>
          <w:rStyle w:val="Hipervnculo"/>
          <w:rFonts w:ascii="Times New Roman" w:hAnsi="Times New Roman"/>
          <w:sz w:val="24"/>
          <w:u w:val="none"/>
        </w:rPr>
        <w:t>https://orcid.org/0000-0003</w:t>
      </w:r>
      <w:r w:rsidR="00D35154" w:rsidRPr="00D35154">
        <w:rPr>
          <w:rStyle w:val="Hipervnculo"/>
          <w:rFonts w:ascii="Times New Roman" w:hAnsi="Times New Roman"/>
          <w:sz w:val="24"/>
          <w:u w:val="none"/>
        </w:rPr>
        <w:t>-0</w:t>
      </w:r>
      <w:r>
        <w:rPr>
          <w:rStyle w:val="Hipervnculo"/>
          <w:rFonts w:ascii="Times New Roman" w:hAnsi="Times New Roman"/>
          <w:sz w:val="24"/>
          <w:u w:val="none"/>
        </w:rPr>
        <w:t>822</w:t>
      </w:r>
      <w:r w:rsidR="00D35154" w:rsidRPr="00D35154">
        <w:rPr>
          <w:rStyle w:val="Hipervnculo"/>
          <w:rFonts w:ascii="Times New Roman" w:hAnsi="Times New Roman"/>
          <w:sz w:val="24"/>
          <w:u w:val="none"/>
        </w:rPr>
        <w:t>-</w:t>
      </w:r>
      <w:r>
        <w:rPr>
          <w:rStyle w:val="Hipervnculo"/>
          <w:rFonts w:ascii="Times New Roman" w:hAnsi="Times New Roman"/>
          <w:sz w:val="24"/>
          <w:u w:val="none"/>
        </w:rPr>
        <w:t>8184</w:t>
      </w:r>
    </w:p>
    <w:p w:rsidR="00FF5C0F" w:rsidRPr="00E74340" w:rsidRDefault="00FF5C0F" w:rsidP="00FF5C0F">
      <w:pPr>
        <w:spacing w:after="0" w:line="276" w:lineRule="auto"/>
        <w:jc w:val="center"/>
        <w:rPr>
          <w:rFonts w:ascii="Times New Roman" w:hAnsi="Times New Roman"/>
          <w:b/>
          <w:bCs/>
          <w:i/>
          <w:iCs/>
          <w:color w:val="000000"/>
          <w:sz w:val="20"/>
          <w:szCs w:val="28"/>
        </w:rPr>
      </w:pPr>
    </w:p>
    <w:p w:rsidR="00E74340" w:rsidRPr="003306BF" w:rsidRDefault="000963C1" w:rsidP="00E74340">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Luis Santiago Quiroz-</w:t>
      </w:r>
      <w:proofErr w:type="spellStart"/>
      <w:r w:rsidR="00860394" w:rsidRPr="00860394">
        <w:rPr>
          <w:rFonts w:ascii="Times New Roman" w:hAnsi="Times New Roman"/>
          <w:bCs/>
          <w:iCs/>
          <w:color w:val="000000"/>
          <w:sz w:val="24"/>
        </w:rPr>
        <w:t>Fernandez</w:t>
      </w:r>
      <w:proofErr w:type="spellEnd"/>
      <w:r w:rsidR="00860394">
        <w:rPr>
          <w:rFonts w:ascii="Times New Roman" w:hAnsi="Times New Roman"/>
          <w:bCs/>
          <w:iCs/>
          <w:color w:val="000000"/>
          <w:sz w:val="24"/>
        </w:rPr>
        <w:t xml:space="preserve"> </w:t>
      </w:r>
      <w:r w:rsidR="00E74340" w:rsidRPr="003306BF">
        <w:rPr>
          <w:rFonts w:ascii="Times New Roman" w:hAnsi="Times New Roman"/>
          <w:bCs/>
          <w:iCs/>
          <w:color w:val="000000"/>
          <w:sz w:val="24"/>
          <w:vertAlign w:val="superscript"/>
        </w:rPr>
        <w:t>I</w:t>
      </w:r>
      <w:r w:rsidR="00E74340">
        <w:rPr>
          <w:rFonts w:ascii="Times New Roman" w:hAnsi="Times New Roman"/>
          <w:bCs/>
          <w:iCs/>
          <w:color w:val="000000"/>
          <w:sz w:val="24"/>
          <w:vertAlign w:val="superscript"/>
        </w:rPr>
        <w:t>I</w:t>
      </w:r>
    </w:p>
    <w:p w:rsidR="00860394" w:rsidRPr="00860394" w:rsidRDefault="00860394" w:rsidP="00860394">
      <w:pPr>
        <w:spacing w:after="0" w:line="240" w:lineRule="auto"/>
        <w:jc w:val="center"/>
        <w:rPr>
          <w:rStyle w:val="Hipervnculo"/>
          <w:rFonts w:ascii="Times New Roman" w:hAnsi="Times New Roman"/>
          <w:sz w:val="24"/>
          <w:u w:val="none"/>
        </w:rPr>
      </w:pPr>
      <w:r w:rsidRPr="00860394">
        <w:rPr>
          <w:rStyle w:val="Hipervnculo"/>
          <w:rFonts w:ascii="Times New Roman" w:hAnsi="Times New Roman"/>
          <w:sz w:val="24"/>
          <w:u w:val="none"/>
        </w:rPr>
        <w:t xml:space="preserve">santiago.quiroz@utm.edu.ec </w:t>
      </w:r>
    </w:p>
    <w:p w:rsidR="00E74340" w:rsidRPr="00DF2155" w:rsidRDefault="00860394" w:rsidP="00860394">
      <w:pPr>
        <w:spacing w:after="0" w:line="240" w:lineRule="auto"/>
        <w:jc w:val="center"/>
        <w:rPr>
          <w:sz w:val="24"/>
        </w:rPr>
      </w:pPr>
      <w:r w:rsidRPr="00860394">
        <w:rPr>
          <w:rStyle w:val="Hipervnculo"/>
          <w:rFonts w:ascii="Times New Roman" w:hAnsi="Times New Roman"/>
          <w:sz w:val="24"/>
          <w:u w:val="none"/>
        </w:rPr>
        <w:t>https://orcid.org/0000-0002-2962-0583</w:t>
      </w:r>
    </w:p>
    <w:p w:rsidR="003306BF" w:rsidRPr="00E74340" w:rsidRDefault="003306BF" w:rsidP="00AF7ABB">
      <w:pPr>
        <w:spacing w:after="0" w:line="240" w:lineRule="auto"/>
        <w:jc w:val="center"/>
        <w:rPr>
          <w:sz w:val="20"/>
        </w:rPr>
      </w:pPr>
    </w:p>
    <w:p w:rsidR="003306BF" w:rsidRPr="00E74340" w:rsidRDefault="003306BF" w:rsidP="00FF5C0F">
      <w:pPr>
        <w:spacing w:after="0" w:line="276" w:lineRule="auto"/>
        <w:jc w:val="center"/>
        <w:rPr>
          <w:rFonts w:ascii="Times New Roman" w:hAnsi="Times New Roman"/>
          <w:b/>
          <w:bCs/>
          <w:i/>
          <w:iCs/>
          <w:color w:val="000000"/>
          <w:sz w:val="20"/>
          <w:szCs w:val="28"/>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860394" w:rsidRPr="00860394">
        <w:rPr>
          <w:rStyle w:val="Hipervnculo"/>
          <w:rFonts w:ascii="Times New Roman" w:hAnsi="Times New Roman"/>
          <w:szCs w:val="24"/>
          <w:u w:val="none"/>
        </w:rPr>
        <w:t>julio.intriago@hotmail.com</w:t>
      </w:r>
    </w:p>
    <w:p w:rsidR="0043113A" w:rsidRPr="0043113A" w:rsidRDefault="0043113A" w:rsidP="0043113A">
      <w:pPr>
        <w:spacing w:after="0"/>
        <w:jc w:val="center"/>
        <w:rPr>
          <w:rFonts w:ascii="Times New Roman" w:hAnsi="Times New Roman"/>
          <w:szCs w:val="20"/>
        </w:rPr>
      </w:pPr>
      <w:r w:rsidRPr="0043113A">
        <w:rPr>
          <w:rFonts w:ascii="Times New Roman" w:hAnsi="Times New Roman"/>
          <w:szCs w:val="20"/>
        </w:rPr>
        <w:t xml:space="preserve">Ciencias </w:t>
      </w:r>
      <w:r w:rsidR="00AE6FA4">
        <w:rPr>
          <w:rFonts w:ascii="Times New Roman" w:hAnsi="Times New Roman"/>
          <w:szCs w:val="20"/>
        </w:rPr>
        <w:t>técnicas y aplicadas</w:t>
      </w:r>
    </w:p>
    <w:p w:rsidR="00FF5C0F" w:rsidRPr="00AF7ABB" w:rsidRDefault="0043113A" w:rsidP="0043113A">
      <w:pPr>
        <w:spacing w:after="0"/>
        <w:jc w:val="center"/>
        <w:rPr>
          <w:rFonts w:ascii="Times New Roman" w:hAnsi="Times New Roman"/>
          <w:szCs w:val="20"/>
        </w:rPr>
      </w:pPr>
      <w:r w:rsidRPr="0043113A">
        <w:rPr>
          <w:rFonts w:ascii="Times New Roman" w:hAnsi="Times New Roman"/>
          <w:szCs w:val="20"/>
        </w:rPr>
        <w:t>Artículo de investigación</w:t>
      </w:r>
    </w:p>
    <w:p w:rsidR="00060838" w:rsidRDefault="00060838" w:rsidP="00592506">
      <w:pPr>
        <w:spacing w:after="0"/>
        <w:jc w:val="center"/>
        <w:rPr>
          <w:rFonts w:ascii="Times New Roman" w:hAnsi="Times New Roman"/>
          <w:sz w:val="10"/>
          <w:szCs w:val="24"/>
        </w:rPr>
      </w:pPr>
    </w:p>
    <w:p w:rsidR="00AF7ABB" w:rsidRPr="003F3871" w:rsidRDefault="00AF7ABB" w:rsidP="00592506">
      <w:pPr>
        <w:spacing w:after="0"/>
        <w:jc w:val="center"/>
        <w:rPr>
          <w:rFonts w:ascii="Times New Roman" w:hAnsi="Times New Roman"/>
          <w:sz w:val="10"/>
          <w:szCs w:val="24"/>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A83D70">
        <w:rPr>
          <w:rFonts w:ascii="Times New Roman" w:hAnsi="Times New Roman"/>
          <w:sz w:val="20"/>
          <w:szCs w:val="20"/>
          <w:lang w:eastAsia="es-EC"/>
        </w:rPr>
        <w:t>20</w:t>
      </w:r>
      <w:r>
        <w:rPr>
          <w:rFonts w:ascii="Times New Roman" w:hAnsi="Times New Roman"/>
          <w:sz w:val="20"/>
          <w:szCs w:val="20"/>
          <w:lang w:eastAsia="es-EC"/>
        </w:rPr>
        <w:t xml:space="preserve"> de</w:t>
      </w:r>
      <w:r w:rsidR="003A04BF">
        <w:rPr>
          <w:rFonts w:ascii="Times New Roman" w:hAnsi="Times New Roman"/>
          <w:sz w:val="20"/>
          <w:szCs w:val="20"/>
          <w:lang w:eastAsia="es-EC"/>
        </w:rPr>
        <w:t xml:space="preserve"> abril</w:t>
      </w:r>
      <w:r>
        <w:rPr>
          <w:rFonts w:ascii="Times New Roman" w:hAnsi="Times New Roman"/>
          <w:sz w:val="20"/>
          <w:szCs w:val="20"/>
          <w:lang w:eastAsia="es-EC"/>
        </w:rPr>
        <w:t xml:space="preserve"> </w:t>
      </w:r>
      <w:r w:rsidRPr="005A50F0">
        <w:rPr>
          <w:rFonts w:ascii="Times New Roman" w:hAnsi="Times New Roman"/>
          <w:sz w:val="20"/>
          <w:szCs w:val="20"/>
          <w:lang w:eastAsia="es-EC"/>
        </w:rPr>
        <w:t>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3A04BF">
        <w:rPr>
          <w:rFonts w:ascii="Times New Roman" w:hAnsi="Times New Roman"/>
          <w:sz w:val="20"/>
          <w:szCs w:val="20"/>
          <w:lang w:eastAsia="es-EC"/>
        </w:rPr>
        <w:t xml:space="preserve"> 18</w:t>
      </w:r>
      <w:r w:rsidR="00A83D70">
        <w:rPr>
          <w:rFonts w:ascii="Times New Roman" w:hAnsi="Times New Roman"/>
          <w:sz w:val="20"/>
          <w:szCs w:val="20"/>
          <w:lang w:eastAsia="es-EC"/>
        </w:rPr>
        <w:t xml:space="preserve"> de </w:t>
      </w:r>
      <w:r w:rsidR="003A04BF">
        <w:rPr>
          <w:rFonts w:ascii="Times New Roman" w:hAnsi="Times New Roman"/>
          <w:sz w:val="20"/>
          <w:szCs w:val="20"/>
          <w:lang w:eastAsia="es-EC"/>
        </w:rPr>
        <w:t>mayo</w:t>
      </w:r>
      <w:r>
        <w:rPr>
          <w:rFonts w:ascii="Times New Roman" w:hAnsi="Times New Roman"/>
          <w:sz w:val="20"/>
          <w:szCs w:val="20"/>
          <w:lang w:eastAsia="es-EC"/>
        </w:rPr>
        <w:t xml:space="preserve"> de 2021 </w:t>
      </w:r>
      <w:r w:rsidRPr="00E323DB">
        <w:rPr>
          <w:rFonts w:ascii="Times New Roman" w:hAnsi="Times New Roman"/>
          <w:b/>
          <w:sz w:val="20"/>
          <w:szCs w:val="20"/>
          <w:lang w:eastAsia="es-EC"/>
        </w:rPr>
        <w:t>* Publicado:</w:t>
      </w:r>
      <w:r w:rsidR="00A83D70">
        <w:rPr>
          <w:rFonts w:ascii="Times New Roman" w:hAnsi="Times New Roman"/>
          <w:sz w:val="20"/>
          <w:szCs w:val="20"/>
          <w:lang w:eastAsia="es-EC"/>
        </w:rPr>
        <w:t xml:space="preserve"> 17</w:t>
      </w:r>
      <w:r>
        <w:rPr>
          <w:rFonts w:ascii="Times New Roman" w:hAnsi="Times New Roman"/>
          <w:sz w:val="20"/>
          <w:szCs w:val="20"/>
          <w:lang w:eastAsia="es-EC"/>
        </w:rPr>
        <w:t xml:space="preserve"> de junio de 2021</w:t>
      </w:r>
    </w:p>
    <w:p w:rsidR="00AF7ABB" w:rsidRDefault="00AF7ABB" w:rsidP="005A2E78">
      <w:pPr>
        <w:pStyle w:val="Sinespaciado"/>
        <w:spacing w:line="360" w:lineRule="auto"/>
        <w:jc w:val="center"/>
        <w:rPr>
          <w:rFonts w:ascii="Times New Roman" w:hAnsi="Times New Roman"/>
          <w:sz w:val="20"/>
          <w:szCs w:val="20"/>
          <w:lang w:eastAsia="es-EC"/>
        </w:rPr>
      </w:pPr>
    </w:p>
    <w:p w:rsidR="00860394" w:rsidRPr="00860394" w:rsidRDefault="00860394" w:rsidP="00860394">
      <w:pPr>
        <w:pStyle w:val="Prrafodelista"/>
        <w:numPr>
          <w:ilvl w:val="0"/>
          <w:numId w:val="5"/>
        </w:numPr>
        <w:spacing w:after="0" w:line="360" w:lineRule="auto"/>
        <w:jc w:val="both"/>
        <w:rPr>
          <w:rFonts w:ascii="Times New Roman" w:hAnsi="Times New Roman"/>
          <w:sz w:val="24"/>
          <w:szCs w:val="23"/>
          <w:lang w:eastAsia="es-EC"/>
        </w:rPr>
      </w:pPr>
      <w:r w:rsidRPr="00860394">
        <w:rPr>
          <w:rFonts w:ascii="Times New Roman" w:hAnsi="Times New Roman"/>
          <w:sz w:val="24"/>
          <w:szCs w:val="23"/>
          <w:lang w:eastAsia="es-EC"/>
        </w:rPr>
        <w:t xml:space="preserve">Estudiante de la Maestría en </w:t>
      </w:r>
      <w:proofErr w:type="spellStart"/>
      <w:r w:rsidRPr="00860394">
        <w:rPr>
          <w:rFonts w:ascii="Times New Roman" w:hAnsi="Times New Roman"/>
          <w:sz w:val="24"/>
          <w:szCs w:val="23"/>
          <w:lang w:eastAsia="es-EC"/>
        </w:rPr>
        <w:t>Hidraulica</w:t>
      </w:r>
      <w:proofErr w:type="spellEnd"/>
      <w:r w:rsidRPr="00860394">
        <w:rPr>
          <w:rFonts w:ascii="Times New Roman" w:hAnsi="Times New Roman"/>
          <w:sz w:val="24"/>
          <w:szCs w:val="23"/>
          <w:lang w:eastAsia="es-EC"/>
        </w:rPr>
        <w:t xml:space="preserve"> Mención en Gestión de Recursos Hídricos en el Instituto de Posgrado de la Universidad Técnica de Manabí, Ingeniero Civil, Portoviejo, Ecuador.</w:t>
      </w:r>
    </w:p>
    <w:p w:rsidR="002D2D3C" w:rsidRPr="00AF7ABB" w:rsidRDefault="00860394" w:rsidP="00860394">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AF7ABB"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860394">
        <w:rPr>
          <w:rFonts w:ascii="Times New Roman" w:hAnsi="Times New Roman"/>
          <w:sz w:val="24"/>
          <w:szCs w:val="23"/>
          <w:lang w:eastAsia="es-EC"/>
        </w:rPr>
        <w:t xml:space="preserve">Magister en </w:t>
      </w:r>
      <w:proofErr w:type="spellStart"/>
      <w:r w:rsidRPr="00860394">
        <w:rPr>
          <w:rFonts w:ascii="Times New Roman" w:hAnsi="Times New Roman"/>
          <w:sz w:val="24"/>
          <w:szCs w:val="23"/>
          <w:lang w:eastAsia="es-EC"/>
        </w:rPr>
        <w:t>Administracion</w:t>
      </w:r>
      <w:proofErr w:type="spellEnd"/>
      <w:r w:rsidRPr="00860394">
        <w:rPr>
          <w:rFonts w:ascii="Times New Roman" w:hAnsi="Times New Roman"/>
          <w:sz w:val="24"/>
          <w:szCs w:val="23"/>
          <w:lang w:eastAsia="es-EC"/>
        </w:rPr>
        <w:t xml:space="preserve"> Ambiental, Doctor en Ciencias </w:t>
      </w:r>
      <w:proofErr w:type="spellStart"/>
      <w:r w:rsidRPr="00860394">
        <w:rPr>
          <w:rFonts w:ascii="Times New Roman" w:hAnsi="Times New Roman"/>
          <w:sz w:val="24"/>
          <w:szCs w:val="23"/>
          <w:lang w:eastAsia="es-EC"/>
        </w:rPr>
        <w:t>Tecnicas</w:t>
      </w:r>
      <w:proofErr w:type="spellEnd"/>
      <w:r w:rsidRPr="00860394">
        <w:rPr>
          <w:rFonts w:ascii="Times New Roman" w:hAnsi="Times New Roman"/>
          <w:sz w:val="24"/>
          <w:szCs w:val="23"/>
          <w:lang w:eastAsia="es-EC"/>
        </w:rPr>
        <w:t>, Ingeniero Civil, Universidad Técnica de Manabí, Portoviejo, Ecuador</w:t>
      </w:r>
      <w:r w:rsidR="00AF7ABB">
        <w:rPr>
          <w:rFonts w:ascii="Times New Roman" w:hAnsi="Times New Roman"/>
          <w:color w:val="000000"/>
          <w:sz w:val="24"/>
          <w:szCs w:val="23"/>
          <w:lang w:eastAsia="es-EC"/>
        </w:rPr>
        <w:t>.</w:t>
      </w: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Este trabajo muestra la determinación de los parámetros de calidad de la cuenca media del río Portoviejo, en la provincia de Manabí en Ecuador. La metodología más empleada para la obtención del ICA a nivel mundial y a la cual se suscribe Ecuador, es la propuesta por Brown (1970) y desarrollada por la </w:t>
      </w:r>
      <w:proofErr w:type="spellStart"/>
      <w:r w:rsidRPr="00860394">
        <w:rPr>
          <w:rFonts w:ascii="Times New Roman" w:hAnsi="Times New Roman"/>
          <w:sz w:val="24"/>
          <w:szCs w:val="24"/>
        </w:rPr>
        <w:t>National</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Sanitation</w:t>
      </w:r>
      <w:proofErr w:type="spellEnd"/>
      <w:r w:rsidRPr="00860394">
        <w:rPr>
          <w:rFonts w:ascii="Times New Roman" w:hAnsi="Times New Roman"/>
          <w:sz w:val="24"/>
          <w:szCs w:val="24"/>
        </w:rPr>
        <w:t xml:space="preserve"> Fundación (ICA-NSF). Este índice intenta clasificar la calidad del agua en una escala de 0 a 100, según el constituyente de evaluación y esto permite clasificar la calidad del agua. El ICA desarrollado considera nueve parámetros de calidad de agua: temperatura, sólidos disueltos, oxígeno disuelto, pH, </w:t>
      </w:r>
      <w:proofErr w:type="spellStart"/>
      <w:r w:rsidRPr="00860394">
        <w:rPr>
          <w:rFonts w:ascii="Times New Roman" w:hAnsi="Times New Roman"/>
          <w:sz w:val="24"/>
          <w:szCs w:val="24"/>
        </w:rPr>
        <w:t>coliformes</w:t>
      </w:r>
      <w:proofErr w:type="spellEnd"/>
      <w:r w:rsidRPr="00860394">
        <w:rPr>
          <w:rFonts w:ascii="Times New Roman" w:hAnsi="Times New Roman"/>
          <w:sz w:val="24"/>
          <w:szCs w:val="24"/>
        </w:rPr>
        <w:t xml:space="preserve"> fecales, turbidez, demanda bioquímica de oxígeno (DBO), fosfatos (PO4) y nitratos (NO3). El ICA es representativo de la calidad del agua en un área específica y el momento en que se tomó la muestra. Para los análisis se consideraron las técnicas del STANDAR METHODS FOR EXAMINATION WATER AND WASTEWATER. Se establecieron tres puntos de muestreo en periodo seco. Los estudios concluyen que la cuenca media del rio Portoviejo en el punto número uno (1) del muestreo (san Ignacio), tiene un índice ICA de 69, 97%, lo que le otorga una clasificación media. En el punto dos (2) del muestreo (Puerto real), el ICA arrojó 60,11%, obteniendo una tipificación media y finalmente en el punto señalado como tres (3) para la toma de muestra, se tiene que el ICA proyectó un valor de 43,26%, lo que la categoriza como mala. Se concluye que: en los tres puntos del río Portoviejo</w:t>
      </w:r>
      <w:proofErr w:type="gramStart"/>
      <w:r w:rsidRPr="00860394">
        <w:rPr>
          <w:rFonts w:ascii="Times New Roman" w:hAnsi="Times New Roman"/>
          <w:sz w:val="24"/>
          <w:szCs w:val="24"/>
        </w:rPr>
        <w:t>,  la</w:t>
      </w:r>
      <w:proofErr w:type="gramEnd"/>
      <w:r w:rsidRPr="00860394">
        <w:rPr>
          <w:rFonts w:ascii="Times New Roman" w:hAnsi="Times New Roman"/>
          <w:sz w:val="24"/>
          <w:szCs w:val="24"/>
        </w:rPr>
        <w:t xml:space="preserve"> calidad del agua va disminuyendo conforme avanza en el curso de su cauce, debido principalmente a los vertimientos clandestinos de aguas residuales que existen a lo largo de este afluente. Por tanto se precisa de estrategias para el control y prevención de la contaminación del agua en la cuenca media del río Portoviejo.</w:t>
      </w:r>
    </w:p>
    <w:p w:rsidR="00FF5C0F" w:rsidRDefault="00860394" w:rsidP="00860394">
      <w:pPr>
        <w:spacing w:after="0" w:line="360" w:lineRule="auto"/>
        <w:jc w:val="both"/>
        <w:rPr>
          <w:rFonts w:ascii="Times New Roman" w:hAnsi="Times New Roman"/>
          <w:sz w:val="24"/>
          <w:szCs w:val="24"/>
        </w:rPr>
      </w:pPr>
      <w:r w:rsidRPr="00860394">
        <w:rPr>
          <w:rFonts w:ascii="Times New Roman" w:hAnsi="Times New Roman"/>
          <w:b/>
          <w:sz w:val="24"/>
          <w:szCs w:val="24"/>
        </w:rPr>
        <w:t xml:space="preserve"> Palabras clave:</w:t>
      </w:r>
      <w:r w:rsidRPr="00860394">
        <w:rPr>
          <w:rFonts w:ascii="Times New Roman" w:hAnsi="Times New Roman"/>
          <w:sz w:val="24"/>
          <w:szCs w:val="24"/>
        </w:rPr>
        <w:t xml:space="preserve"> </w:t>
      </w:r>
      <w:proofErr w:type="spellStart"/>
      <w:r w:rsidRPr="00860394">
        <w:rPr>
          <w:rFonts w:ascii="Times New Roman" w:hAnsi="Times New Roman"/>
          <w:sz w:val="24"/>
          <w:szCs w:val="24"/>
        </w:rPr>
        <w:t>Indice</w:t>
      </w:r>
      <w:proofErr w:type="spellEnd"/>
      <w:r w:rsidRPr="00860394">
        <w:rPr>
          <w:rFonts w:ascii="Times New Roman" w:hAnsi="Times New Roman"/>
          <w:sz w:val="24"/>
          <w:szCs w:val="24"/>
        </w:rPr>
        <w:t xml:space="preserve"> de calidad del agua (ICA); cuenca media rio Portoviejo; prevención</w:t>
      </w:r>
      <w:r w:rsidR="00FF5C0F" w:rsidRPr="00CF5240">
        <w:rPr>
          <w:rFonts w:ascii="Times New Roman" w:hAnsi="Times New Roman"/>
          <w:sz w:val="24"/>
          <w:szCs w:val="24"/>
        </w:rPr>
        <w:t>.</w:t>
      </w:r>
    </w:p>
    <w:p w:rsidR="00FF5C0F" w:rsidRPr="007F25C7" w:rsidRDefault="00FF5C0F" w:rsidP="00FF5C0F">
      <w:pPr>
        <w:spacing w:after="0" w:line="360" w:lineRule="auto"/>
        <w:jc w:val="both"/>
        <w:rPr>
          <w:rFonts w:ascii="Times New Roman" w:hAnsi="Times New Roman"/>
          <w:b/>
          <w:sz w:val="20"/>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860394" w:rsidRPr="00860394" w:rsidRDefault="00860394" w:rsidP="00860394">
      <w:pPr>
        <w:spacing w:after="0" w:line="360" w:lineRule="auto"/>
        <w:jc w:val="both"/>
        <w:rPr>
          <w:rFonts w:ascii="Times New Roman" w:hAnsi="Times New Roman"/>
          <w:sz w:val="24"/>
          <w:szCs w:val="24"/>
          <w:lang w:val="en-US"/>
        </w:rPr>
      </w:pPr>
      <w:r w:rsidRPr="00860394">
        <w:rPr>
          <w:rFonts w:ascii="Times New Roman" w:hAnsi="Times New Roman"/>
          <w:sz w:val="24"/>
          <w:szCs w:val="24"/>
          <w:lang w:val="en-US"/>
        </w:rPr>
        <w:t xml:space="preserve">This work shows the determination of the quality parameters of the middle basin of the Portoviejo </w:t>
      </w:r>
      <w:proofErr w:type="gramStart"/>
      <w:r w:rsidRPr="00860394">
        <w:rPr>
          <w:rFonts w:ascii="Times New Roman" w:hAnsi="Times New Roman"/>
          <w:sz w:val="24"/>
          <w:szCs w:val="24"/>
          <w:lang w:val="en-US"/>
        </w:rPr>
        <w:t>river</w:t>
      </w:r>
      <w:proofErr w:type="gramEnd"/>
      <w:r w:rsidRPr="00860394">
        <w:rPr>
          <w:rFonts w:ascii="Times New Roman" w:hAnsi="Times New Roman"/>
          <w:sz w:val="24"/>
          <w:szCs w:val="24"/>
          <w:lang w:val="en-US"/>
        </w:rPr>
        <w:t xml:space="preserve">, in the province of Manabí in Ecuador, as strategies to mitigate its contamination. The methodology most used to obtain the ICA worldwide and to which Ecuador subscribes, is that proposed by Brown (1970) and developed by the National Sanitation Foundation (ICA-NSF). This index attempts to classify the water quality on a scale from </w:t>
      </w:r>
      <w:proofErr w:type="gramStart"/>
      <w:r w:rsidRPr="00860394">
        <w:rPr>
          <w:rFonts w:ascii="Times New Roman" w:hAnsi="Times New Roman"/>
          <w:sz w:val="24"/>
          <w:szCs w:val="24"/>
          <w:lang w:val="en-US"/>
        </w:rPr>
        <w:t>0</w:t>
      </w:r>
      <w:proofErr w:type="gramEnd"/>
      <w:r w:rsidRPr="00860394">
        <w:rPr>
          <w:rFonts w:ascii="Times New Roman" w:hAnsi="Times New Roman"/>
          <w:sz w:val="24"/>
          <w:szCs w:val="24"/>
          <w:lang w:val="en-US"/>
        </w:rPr>
        <w:t xml:space="preserve"> to 100, according to the constituent of evaluation and this allows to classify the water quality. The ICA developed considers nine water quality parameters: temperature, dissolved solids, dissolved oxygen, pH, fecal coliforms, turbidity, biochemical oxygen demand (BOD), phosphates (PO4) and nitrates (NO3). The ICA is representative of the water quality in a specific area and the time the sample </w:t>
      </w:r>
      <w:proofErr w:type="gramStart"/>
      <w:r w:rsidRPr="00860394">
        <w:rPr>
          <w:rFonts w:ascii="Times New Roman" w:hAnsi="Times New Roman"/>
          <w:sz w:val="24"/>
          <w:szCs w:val="24"/>
          <w:lang w:val="en-US"/>
        </w:rPr>
        <w:t>was taken</w:t>
      </w:r>
      <w:proofErr w:type="gramEnd"/>
      <w:r w:rsidRPr="00860394">
        <w:rPr>
          <w:rFonts w:ascii="Times New Roman" w:hAnsi="Times New Roman"/>
          <w:sz w:val="24"/>
          <w:szCs w:val="24"/>
          <w:lang w:val="en-US"/>
        </w:rPr>
        <w:t xml:space="preserve">. For </w:t>
      </w:r>
      <w:proofErr w:type="gramStart"/>
      <w:r w:rsidRPr="00860394">
        <w:rPr>
          <w:rFonts w:ascii="Times New Roman" w:hAnsi="Times New Roman"/>
          <w:sz w:val="24"/>
          <w:szCs w:val="24"/>
          <w:lang w:val="en-US"/>
        </w:rPr>
        <w:t>the analyzes</w:t>
      </w:r>
      <w:proofErr w:type="gramEnd"/>
      <w:r w:rsidRPr="00860394">
        <w:rPr>
          <w:rFonts w:ascii="Times New Roman" w:hAnsi="Times New Roman"/>
          <w:sz w:val="24"/>
          <w:szCs w:val="24"/>
          <w:lang w:val="en-US"/>
        </w:rPr>
        <w:t xml:space="preserve">, the techniques of the STANDAR METHODS FOR EXAMINATION WATER AND WASTEWATER were considered. Three sampling points </w:t>
      </w:r>
      <w:proofErr w:type="gramStart"/>
      <w:r w:rsidRPr="00860394">
        <w:rPr>
          <w:rFonts w:ascii="Times New Roman" w:hAnsi="Times New Roman"/>
          <w:sz w:val="24"/>
          <w:szCs w:val="24"/>
          <w:lang w:val="en-US"/>
        </w:rPr>
        <w:t>were established</w:t>
      </w:r>
      <w:proofErr w:type="gramEnd"/>
      <w:r w:rsidRPr="00860394">
        <w:rPr>
          <w:rFonts w:ascii="Times New Roman" w:hAnsi="Times New Roman"/>
          <w:sz w:val="24"/>
          <w:szCs w:val="24"/>
          <w:lang w:val="en-US"/>
        </w:rPr>
        <w:t xml:space="preserve"> in the dry period. The studies conclude that the middle basin of the Portoviejo river at point number one (1) of the sampling (San Ignacio), has an ICA index of 69.97%, which gives it an average classification. At point two (2) of the sampling (Real Port), the ICA yielded 60.11%, obtaining an average classification and finally at the point indicated as three (3) for sampling, the ICA projected a value of 43.26%, which categorizes it as bad. It is concluded that: in the three points of the Portoviejo river, the quality of the water decreases as it progresses in the course of its course, mainly due to the clandestine discharges of wastewater that exist along this tributary. Therefore, strategies are needed to control and prevent water pollution in the middle basin of the Portoviejo </w:t>
      </w:r>
      <w:proofErr w:type="gramStart"/>
      <w:r w:rsidRPr="00860394">
        <w:rPr>
          <w:rFonts w:ascii="Times New Roman" w:hAnsi="Times New Roman"/>
          <w:sz w:val="24"/>
          <w:szCs w:val="24"/>
          <w:lang w:val="en-US"/>
        </w:rPr>
        <w:t>river</w:t>
      </w:r>
      <w:proofErr w:type="gramEnd"/>
      <w:r w:rsidRPr="00860394">
        <w:rPr>
          <w:rFonts w:ascii="Times New Roman" w:hAnsi="Times New Roman"/>
          <w:sz w:val="24"/>
          <w:szCs w:val="24"/>
          <w:lang w:val="en-US"/>
        </w:rPr>
        <w:t>.</w:t>
      </w:r>
    </w:p>
    <w:p w:rsidR="00FF5C0F" w:rsidRDefault="00860394" w:rsidP="00860394">
      <w:pPr>
        <w:spacing w:after="0" w:line="360" w:lineRule="auto"/>
        <w:jc w:val="both"/>
        <w:rPr>
          <w:rFonts w:ascii="Times New Roman" w:hAnsi="Times New Roman"/>
          <w:b/>
          <w:sz w:val="24"/>
          <w:szCs w:val="26"/>
        </w:rPr>
      </w:pPr>
      <w:r w:rsidRPr="00860394">
        <w:rPr>
          <w:rFonts w:ascii="Times New Roman" w:hAnsi="Times New Roman"/>
          <w:sz w:val="24"/>
          <w:szCs w:val="24"/>
          <w:lang w:val="en-US"/>
        </w:rPr>
        <w:t xml:space="preserve"> </w:t>
      </w:r>
      <w:r w:rsidRPr="00860394">
        <w:rPr>
          <w:rFonts w:ascii="Times New Roman" w:hAnsi="Times New Roman"/>
          <w:b/>
          <w:sz w:val="24"/>
          <w:szCs w:val="24"/>
          <w:lang w:val="en-US"/>
        </w:rPr>
        <w:t>Keywords:</w:t>
      </w:r>
      <w:r w:rsidRPr="00860394">
        <w:rPr>
          <w:rFonts w:ascii="Times New Roman" w:hAnsi="Times New Roman"/>
          <w:sz w:val="24"/>
          <w:szCs w:val="24"/>
          <w:lang w:val="en-US"/>
        </w:rPr>
        <w:t xml:space="preserve"> Water quality index (ICA); Portoviejo river middle basin; prevention</w:t>
      </w:r>
      <w:r>
        <w:rPr>
          <w:rFonts w:ascii="Times New Roman" w:hAnsi="Times New Roman"/>
          <w:sz w:val="24"/>
          <w:szCs w:val="24"/>
          <w:lang w:val="en-US"/>
        </w:rPr>
        <w:t>.</w:t>
      </w:r>
    </w:p>
    <w:p w:rsidR="009E7C7B" w:rsidRPr="007F25C7" w:rsidRDefault="009E7C7B" w:rsidP="00FF5C0F">
      <w:pPr>
        <w:spacing w:after="0" w:line="360" w:lineRule="auto"/>
        <w:jc w:val="both"/>
        <w:rPr>
          <w:rFonts w:ascii="Times New Roman" w:hAnsi="Times New Roman"/>
          <w:sz w:val="20"/>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Este </w:t>
      </w:r>
      <w:proofErr w:type="spellStart"/>
      <w:r w:rsidRPr="00860394">
        <w:rPr>
          <w:rFonts w:ascii="Times New Roman" w:hAnsi="Times New Roman"/>
          <w:sz w:val="24"/>
          <w:szCs w:val="24"/>
        </w:rPr>
        <w:t>trabalho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mostra</w:t>
      </w:r>
      <w:proofErr w:type="spellEnd"/>
      <w:r w:rsidRPr="00860394">
        <w:rPr>
          <w:rFonts w:ascii="Times New Roman" w:hAnsi="Times New Roman"/>
          <w:sz w:val="24"/>
          <w:szCs w:val="24"/>
        </w:rPr>
        <w:t xml:space="preserve"> a </w:t>
      </w:r>
      <w:proofErr w:type="spellStart"/>
      <w:r w:rsidRPr="00860394">
        <w:rPr>
          <w:rFonts w:ascii="Times New Roman" w:hAnsi="Times New Roman"/>
          <w:sz w:val="24"/>
          <w:szCs w:val="24"/>
        </w:rPr>
        <w:t>determinação</w:t>
      </w:r>
      <w:proofErr w:type="spellEnd"/>
      <w:r w:rsidRPr="00860394">
        <w:rPr>
          <w:rFonts w:ascii="Times New Roman" w:hAnsi="Times New Roman"/>
          <w:sz w:val="24"/>
          <w:szCs w:val="24"/>
        </w:rPr>
        <w:t xml:space="preserve"> dos </w:t>
      </w:r>
      <w:proofErr w:type="spellStart"/>
      <w:r w:rsidRPr="00860394">
        <w:rPr>
          <w:rFonts w:ascii="Times New Roman" w:hAnsi="Times New Roman"/>
          <w:sz w:val="24"/>
          <w:szCs w:val="24"/>
        </w:rPr>
        <w:t>parâmetros</w:t>
      </w:r>
      <w:proofErr w:type="spellEnd"/>
      <w:r w:rsidRPr="00860394">
        <w:rPr>
          <w:rFonts w:ascii="Times New Roman" w:hAnsi="Times New Roman"/>
          <w:sz w:val="24"/>
          <w:szCs w:val="24"/>
        </w:rPr>
        <w:t xml:space="preserve"> de </w:t>
      </w:r>
      <w:proofErr w:type="spellStart"/>
      <w:r w:rsidRPr="00860394">
        <w:rPr>
          <w:rFonts w:ascii="Times New Roman" w:hAnsi="Times New Roman"/>
          <w:sz w:val="24"/>
          <w:szCs w:val="24"/>
        </w:rPr>
        <w:t>qualidade</w:t>
      </w:r>
      <w:proofErr w:type="spellEnd"/>
      <w:r w:rsidRPr="00860394">
        <w:rPr>
          <w:rFonts w:ascii="Times New Roman" w:hAnsi="Times New Roman"/>
          <w:sz w:val="24"/>
          <w:szCs w:val="24"/>
        </w:rPr>
        <w:t xml:space="preserve"> da </w:t>
      </w:r>
      <w:proofErr w:type="spellStart"/>
      <w:r w:rsidRPr="00860394">
        <w:rPr>
          <w:rFonts w:ascii="Times New Roman" w:hAnsi="Times New Roman"/>
          <w:sz w:val="24"/>
          <w:szCs w:val="24"/>
        </w:rPr>
        <w:t>bacia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média</w:t>
      </w:r>
      <w:proofErr w:type="spellEnd"/>
      <w:r w:rsidRPr="00860394">
        <w:rPr>
          <w:rFonts w:ascii="Times New Roman" w:hAnsi="Times New Roman"/>
          <w:sz w:val="24"/>
          <w:szCs w:val="24"/>
        </w:rPr>
        <w:t xml:space="preserve"> do rio Portoviejo, na </w:t>
      </w:r>
      <w:proofErr w:type="spellStart"/>
      <w:r w:rsidRPr="00860394">
        <w:rPr>
          <w:rFonts w:ascii="Times New Roman" w:hAnsi="Times New Roman"/>
          <w:sz w:val="24"/>
          <w:szCs w:val="24"/>
        </w:rPr>
        <w:t>província</w:t>
      </w:r>
      <w:proofErr w:type="spellEnd"/>
      <w:r w:rsidRPr="00860394">
        <w:rPr>
          <w:rFonts w:ascii="Times New Roman" w:hAnsi="Times New Roman"/>
          <w:sz w:val="24"/>
          <w:szCs w:val="24"/>
        </w:rPr>
        <w:t xml:space="preserve"> de Manabí, no </w:t>
      </w:r>
      <w:proofErr w:type="spellStart"/>
      <w:r w:rsidRPr="00860394">
        <w:rPr>
          <w:rFonts w:ascii="Times New Roman" w:hAnsi="Times New Roman"/>
          <w:sz w:val="24"/>
          <w:szCs w:val="24"/>
        </w:rPr>
        <w:t>Equador</w:t>
      </w:r>
      <w:proofErr w:type="spellEnd"/>
      <w:r w:rsidRPr="00860394">
        <w:rPr>
          <w:rFonts w:ascii="Times New Roman" w:hAnsi="Times New Roman"/>
          <w:sz w:val="24"/>
          <w:szCs w:val="24"/>
        </w:rPr>
        <w:t xml:space="preserve">, como </w:t>
      </w:r>
      <w:proofErr w:type="spellStart"/>
      <w:r w:rsidRPr="00860394">
        <w:rPr>
          <w:rFonts w:ascii="Times New Roman" w:hAnsi="Times New Roman"/>
          <w:sz w:val="24"/>
          <w:szCs w:val="24"/>
        </w:rPr>
        <w:t>estratégias</w:t>
      </w:r>
      <w:proofErr w:type="spellEnd"/>
      <w:r w:rsidRPr="00860394">
        <w:rPr>
          <w:rFonts w:ascii="Times New Roman" w:hAnsi="Times New Roman"/>
          <w:sz w:val="24"/>
          <w:szCs w:val="24"/>
        </w:rPr>
        <w:t xml:space="preserve"> para mitigar </w:t>
      </w:r>
      <w:proofErr w:type="spellStart"/>
      <w:r w:rsidRPr="00860394">
        <w:rPr>
          <w:rFonts w:ascii="Times New Roman" w:hAnsi="Times New Roman"/>
          <w:sz w:val="24"/>
          <w:szCs w:val="24"/>
        </w:rPr>
        <w:t>sua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contaminação</w:t>
      </w:r>
      <w:proofErr w:type="spellEnd"/>
      <w:r w:rsidRPr="00860394">
        <w:rPr>
          <w:rFonts w:ascii="Times New Roman" w:hAnsi="Times New Roman"/>
          <w:sz w:val="24"/>
          <w:szCs w:val="24"/>
        </w:rPr>
        <w:t xml:space="preserve">. A </w:t>
      </w:r>
      <w:proofErr w:type="spellStart"/>
      <w:r w:rsidRPr="00860394">
        <w:rPr>
          <w:rFonts w:ascii="Times New Roman" w:hAnsi="Times New Roman"/>
          <w:sz w:val="24"/>
          <w:szCs w:val="24"/>
        </w:rPr>
        <w:t>metodologia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mais</w:t>
      </w:r>
      <w:proofErr w:type="spellEnd"/>
      <w:r w:rsidRPr="00860394">
        <w:rPr>
          <w:rFonts w:ascii="Times New Roman" w:hAnsi="Times New Roman"/>
          <w:sz w:val="24"/>
          <w:szCs w:val="24"/>
        </w:rPr>
        <w:t xml:space="preserve"> utilizada para a </w:t>
      </w:r>
      <w:proofErr w:type="spellStart"/>
      <w:r w:rsidRPr="00860394">
        <w:rPr>
          <w:rFonts w:ascii="Times New Roman" w:hAnsi="Times New Roman"/>
          <w:sz w:val="24"/>
          <w:szCs w:val="24"/>
        </w:rPr>
        <w:t>obtenção</w:t>
      </w:r>
      <w:proofErr w:type="spellEnd"/>
      <w:r w:rsidRPr="00860394">
        <w:rPr>
          <w:rFonts w:ascii="Times New Roman" w:hAnsi="Times New Roman"/>
          <w:sz w:val="24"/>
          <w:szCs w:val="24"/>
        </w:rPr>
        <w:t xml:space="preserve"> do ICA em todo o mundo e que o </w:t>
      </w:r>
      <w:proofErr w:type="spellStart"/>
      <w:r w:rsidRPr="00860394">
        <w:rPr>
          <w:rFonts w:ascii="Times New Roman" w:hAnsi="Times New Roman"/>
          <w:sz w:val="24"/>
          <w:szCs w:val="24"/>
        </w:rPr>
        <w:t>Equador</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subscreve</w:t>
      </w:r>
      <w:proofErr w:type="spellEnd"/>
      <w:r w:rsidRPr="00860394">
        <w:rPr>
          <w:rFonts w:ascii="Times New Roman" w:hAnsi="Times New Roman"/>
          <w:sz w:val="24"/>
          <w:szCs w:val="24"/>
        </w:rPr>
        <w:t xml:space="preserve"> é a </w:t>
      </w:r>
      <w:proofErr w:type="spellStart"/>
      <w:r w:rsidRPr="00860394">
        <w:rPr>
          <w:rFonts w:ascii="Times New Roman" w:hAnsi="Times New Roman"/>
          <w:sz w:val="24"/>
          <w:szCs w:val="24"/>
        </w:rPr>
        <w:t>proposta</w:t>
      </w:r>
      <w:proofErr w:type="spellEnd"/>
      <w:r w:rsidRPr="00860394">
        <w:rPr>
          <w:rFonts w:ascii="Times New Roman" w:hAnsi="Times New Roman"/>
          <w:sz w:val="24"/>
          <w:szCs w:val="24"/>
        </w:rPr>
        <w:t xml:space="preserve"> por Brown (1970) e </w:t>
      </w:r>
      <w:proofErr w:type="spellStart"/>
      <w:r w:rsidRPr="00860394">
        <w:rPr>
          <w:rFonts w:ascii="Times New Roman" w:hAnsi="Times New Roman"/>
          <w:sz w:val="24"/>
          <w:szCs w:val="24"/>
        </w:rPr>
        <w:t>desenvolvida</w:t>
      </w:r>
      <w:proofErr w:type="spellEnd"/>
      <w:r w:rsidRPr="00860394">
        <w:rPr>
          <w:rFonts w:ascii="Times New Roman" w:hAnsi="Times New Roman"/>
          <w:sz w:val="24"/>
          <w:szCs w:val="24"/>
        </w:rPr>
        <w:t xml:space="preserve"> pela </w:t>
      </w:r>
      <w:proofErr w:type="spellStart"/>
      <w:r w:rsidRPr="00860394">
        <w:rPr>
          <w:rFonts w:ascii="Times New Roman" w:hAnsi="Times New Roman"/>
          <w:sz w:val="24"/>
          <w:szCs w:val="24"/>
        </w:rPr>
        <w:t>Fundação</w:t>
      </w:r>
      <w:proofErr w:type="spellEnd"/>
      <w:r w:rsidRPr="00860394">
        <w:rPr>
          <w:rFonts w:ascii="Times New Roman" w:hAnsi="Times New Roman"/>
          <w:sz w:val="24"/>
          <w:szCs w:val="24"/>
        </w:rPr>
        <w:t xml:space="preserve"> Nacional de </w:t>
      </w:r>
      <w:proofErr w:type="spellStart"/>
      <w:r w:rsidRPr="00860394">
        <w:rPr>
          <w:rFonts w:ascii="Times New Roman" w:hAnsi="Times New Roman"/>
          <w:sz w:val="24"/>
          <w:szCs w:val="24"/>
        </w:rPr>
        <w:t>Saneamento</w:t>
      </w:r>
      <w:proofErr w:type="spellEnd"/>
      <w:r w:rsidRPr="00860394">
        <w:rPr>
          <w:rFonts w:ascii="Times New Roman" w:hAnsi="Times New Roman"/>
          <w:sz w:val="24"/>
          <w:szCs w:val="24"/>
        </w:rPr>
        <w:t xml:space="preserve"> (ICA-NSF). Este índice </w:t>
      </w:r>
      <w:proofErr w:type="spellStart"/>
      <w:r w:rsidRPr="00860394">
        <w:rPr>
          <w:rFonts w:ascii="Times New Roman" w:hAnsi="Times New Roman"/>
          <w:sz w:val="24"/>
          <w:szCs w:val="24"/>
        </w:rPr>
        <w:t>tenta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classificar</w:t>
      </w:r>
      <w:proofErr w:type="spellEnd"/>
      <w:r w:rsidRPr="00860394">
        <w:rPr>
          <w:rFonts w:ascii="Times New Roman" w:hAnsi="Times New Roman"/>
          <w:sz w:val="24"/>
          <w:szCs w:val="24"/>
        </w:rPr>
        <w:t xml:space="preserve"> a </w:t>
      </w:r>
      <w:proofErr w:type="spellStart"/>
      <w:r w:rsidRPr="00860394">
        <w:rPr>
          <w:rFonts w:ascii="Times New Roman" w:hAnsi="Times New Roman"/>
          <w:sz w:val="24"/>
          <w:szCs w:val="24"/>
        </w:rPr>
        <w:t>qualidade</w:t>
      </w:r>
      <w:proofErr w:type="spellEnd"/>
      <w:r w:rsidRPr="00860394">
        <w:rPr>
          <w:rFonts w:ascii="Times New Roman" w:hAnsi="Times New Roman"/>
          <w:sz w:val="24"/>
          <w:szCs w:val="24"/>
        </w:rPr>
        <w:t xml:space="preserve"> da </w:t>
      </w:r>
      <w:proofErr w:type="spellStart"/>
      <w:r w:rsidRPr="00860394">
        <w:rPr>
          <w:rFonts w:ascii="Times New Roman" w:hAnsi="Times New Roman"/>
          <w:sz w:val="24"/>
          <w:szCs w:val="24"/>
        </w:rPr>
        <w:t>água</w:t>
      </w:r>
      <w:proofErr w:type="spellEnd"/>
      <w:r w:rsidRPr="00860394">
        <w:rPr>
          <w:rFonts w:ascii="Times New Roman" w:hAnsi="Times New Roman"/>
          <w:sz w:val="24"/>
          <w:szCs w:val="24"/>
        </w:rPr>
        <w:t xml:space="preserve"> em </w:t>
      </w:r>
      <w:proofErr w:type="spellStart"/>
      <w:r w:rsidRPr="00860394">
        <w:rPr>
          <w:rFonts w:ascii="Times New Roman" w:hAnsi="Times New Roman"/>
          <w:sz w:val="24"/>
          <w:szCs w:val="24"/>
        </w:rPr>
        <w:t>uma</w:t>
      </w:r>
      <w:proofErr w:type="spellEnd"/>
      <w:r w:rsidRPr="00860394">
        <w:rPr>
          <w:rFonts w:ascii="Times New Roman" w:hAnsi="Times New Roman"/>
          <w:sz w:val="24"/>
          <w:szCs w:val="24"/>
        </w:rPr>
        <w:t xml:space="preserve"> escala de 0 a 100, de </w:t>
      </w:r>
      <w:proofErr w:type="spellStart"/>
      <w:r w:rsidRPr="00860394">
        <w:rPr>
          <w:rFonts w:ascii="Times New Roman" w:hAnsi="Times New Roman"/>
          <w:sz w:val="24"/>
          <w:szCs w:val="24"/>
        </w:rPr>
        <w:t>acordo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com</w:t>
      </w:r>
      <w:proofErr w:type="spellEnd"/>
      <w:r w:rsidRPr="00860394">
        <w:rPr>
          <w:rFonts w:ascii="Times New Roman" w:hAnsi="Times New Roman"/>
          <w:sz w:val="24"/>
          <w:szCs w:val="24"/>
        </w:rPr>
        <w:t xml:space="preserve"> o </w:t>
      </w:r>
      <w:proofErr w:type="spellStart"/>
      <w:r w:rsidRPr="00860394">
        <w:rPr>
          <w:rFonts w:ascii="Times New Roman" w:hAnsi="Times New Roman"/>
          <w:sz w:val="24"/>
          <w:szCs w:val="24"/>
        </w:rPr>
        <w:t>constituinte</w:t>
      </w:r>
      <w:proofErr w:type="spellEnd"/>
      <w:r w:rsidRPr="00860394">
        <w:rPr>
          <w:rFonts w:ascii="Times New Roman" w:hAnsi="Times New Roman"/>
          <w:sz w:val="24"/>
          <w:szCs w:val="24"/>
        </w:rPr>
        <w:t xml:space="preserve"> de </w:t>
      </w:r>
      <w:proofErr w:type="spellStart"/>
      <w:r w:rsidRPr="00860394">
        <w:rPr>
          <w:rFonts w:ascii="Times New Roman" w:hAnsi="Times New Roman"/>
          <w:sz w:val="24"/>
          <w:szCs w:val="24"/>
        </w:rPr>
        <w:t>avaliação</w:t>
      </w:r>
      <w:proofErr w:type="spellEnd"/>
      <w:r w:rsidRPr="00860394">
        <w:rPr>
          <w:rFonts w:ascii="Times New Roman" w:hAnsi="Times New Roman"/>
          <w:sz w:val="24"/>
          <w:szCs w:val="24"/>
        </w:rPr>
        <w:t xml:space="preserve"> e </w:t>
      </w:r>
      <w:proofErr w:type="spellStart"/>
      <w:r w:rsidRPr="00860394">
        <w:rPr>
          <w:rFonts w:ascii="Times New Roman" w:hAnsi="Times New Roman"/>
          <w:sz w:val="24"/>
          <w:szCs w:val="24"/>
        </w:rPr>
        <w:t>isso</w:t>
      </w:r>
      <w:proofErr w:type="spellEnd"/>
      <w:r w:rsidRPr="00860394">
        <w:rPr>
          <w:rFonts w:ascii="Times New Roman" w:hAnsi="Times New Roman"/>
          <w:sz w:val="24"/>
          <w:szCs w:val="24"/>
        </w:rPr>
        <w:t xml:space="preserve"> permite </w:t>
      </w:r>
      <w:proofErr w:type="spellStart"/>
      <w:r w:rsidRPr="00860394">
        <w:rPr>
          <w:rFonts w:ascii="Times New Roman" w:hAnsi="Times New Roman"/>
          <w:sz w:val="24"/>
          <w:szCs w:val="24"/>
        </w:rPr>
        <w:t>classificar</w:t>
      </w:r>
      <w:proofErr w:type="spellEnd"/>
      <w:r w:rsidRPr="00860394">
        <w:rPr>
          <w:rFonts w:ascii="Times New Roman" w:hAnsi="Times New Roman"/>
          <w:sz w:val="24"/>
          <w:szCs w:val="24"/>
        </w:rPr>
        <w:t xml:space="preserve"> a </w:t>
      </w:r>
      <w:proofErr w:type="spellStart"/>
      <w:r w:rsidRPr="00860394">
        <w:rPr>
          <w:rFonts w:ascii="Times New Roman" w:hAnsi="Times New Roman"/>
          <w:sz w:val="24"/>
          <w:szCs w:val="24"/>
        </w:rPr>
        <w:t>qualidade</w:t>
      </w:r>
      <w:proofErr w:type="spellEnd"/>
      <w:r w:rsidRPr="00860394">
        <w:rPr>
          <w:rFonts w:ascii="Times New Roman" w:hAnsi="Times New Roman"/>
          <w:sz w:val="24"/>
          <w:szCs w:val="24"/>
        </w:rPr>
        <w:t xml:space="preserve"> da </w:t>
      </w:r>
      <w:proofErr w:type="spellStart"/>
      <w:r w:rsidRPr="00860394">
        <w:rPr>
          <w:rFonts w:ascii="Times New Roman" w:hAnsi="Times New Roman"/>
          <w:sz w:val="24"/>
          <w:szCs w:val="24"/>
        </w:rPr>
        <w:t>água</w:t>
      </w:r>
      <w:proofErr w:type="spellEnd"/>
      <w:r w:rsidRPr="00860394">
        <w:rPr>
          <w:rFonts w:ascii="Times New Roman" w:hAnsi="Times New Roman"/>
          <w:sz w:val="24"/>
          <w:szCs w:val="24"/>
        </w:rPr>
        <w:t xml:space="preserve">. O ICA </w:t>
      </w:r>
      <w:proofErr w:type="spellStart"/>
      <w:r w:rsidRPr="00860394">
        <w:rPr>
          <w:rFonts w:ascii="Times New Roman" w:hAnsi="Times New Roman"/>
          <w:sz w:val="24"/>
          <w:szCs w:val="24"/>
        </w:rPr>
        <w:t>desenvolvido</w:t>
      </w:r>
      <w:proofErr w:type="spellEnd"/>
      <w:r w:rsidRPr="00860394">
        <w:rPr>
          <w:rFonts w:ascii="Times New Roman" w:hAnsi="Times New Roman"/>
          <w:sz w:val="24"/>
          <w:szCs w:val="24"/>
        </w:rPr>
        <w:t xml:space="preserve"> considera nove </w:t>
      </w:r>
      <w:proofErr w:type="spellStart"/>
      <w:r w:rsidRPr="00860394">
        <w:rPr>
          <w:rFonts w:ascii="Times New Roman" w:hAnsi="Times New Roman"/>
          <w:sz w:val="24"/>
          <w:szCs w:val="24"/>
        </w:rPr>
        <w:t>parâmetros</w:t>
      </w:r>
      <w:proofErr w:type="spellEnd"/>
      <w:r w:rsidRPr="00860394">
        <w:rPr>
          <w:rFonts w:ascii="Times New Roman" w:hAnsi="Times New Roman"/>
          <w:sz w:val="24"/>
          <w:szCs w:val="24"/>
        </w:rPr>
        <w:t xml:space="preserve"> de </w:t>
      </w:r>
      <w:proofErr w:type="spellStart"/>
      <w:r w:rsidRPr="00860394">
        <w:rPr>
          <w:rFonts w:ascii="Times New Roman" w:hAnsi="Times New Roman"/>
          <w:sz w:val="24"/>
          <w:szCs w:val="24"/>
        </w:rPr>
        <w:t>qualidade</w:t>
      </w:r>
      <w:proofErr w:type="spellEnd"/>
      <w:r w:rsidRPr="00860394">
        <w:rPr>
          <w:rFonts w:ascii="Times New Roman" w:hAnsi="Times New Roman"/>
          <w:sz w:val="24"/>
          <w:szCs w:val="24"/>
        </w:rPr>
        <w:t xml:space="preserve"> da </w:t>
      </w:r>
      <w:proofErr w:type="spellStart"/>
      <w:r w:rsidRPr="00860394">
        <w:rPr>
          <w:rFonts w:ascii="Times New Roman" w:hAnsi="Times New Roman"/>
          <w:sz w:val="24"/>
          <w:szCs w:val="24"/>
        </w:rPr>
        <w:t>água</w:t>
      </w:r>
      <w:proofErr w:type="spellEnd"/>
      <w:r w:rsidRPr="00860394">
        <w:rPr>
          <w:rFonts w:ascii="Times New Roman" w:hAnsi="Times New Roman"/>
          <w:sz w:val="24"/>
          <w:szCs w:val="24"/>
        </w:rPr>
        <w:t xml:space="preserve">: temperatura, sólidos </w:t>
      </w:r>
      <w:proofErr w:type="spellStart"/>
      <w:r w:rsidRPr="00860394">
        <w:rPr>
          <w:rFonts w:ascii="Times New Roman" w:hAnsi="Times New Roman"/>
          <w:sz w:val="24"/>
          <w:szCs w:val="24"/>
        </w:rPr>
        <w:t>dissolvidos</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oxigênio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dissolvido</w:t>
      </w:r>
      <w:proofErr w:type="spellEnd"/>
      <w:r w:rsidRPr="00860394">
        <w:rPr>
          <w:rFonts w:ascii="Times New Roman" w:hAnsi="Times New Roman"/>
          <w:sz w:val="24"/>
          <w:szCs w:val="24"/>
        </w:rPr>
        <w:t xml:space="preserve">, pH, </w:t>
      </w:r>
      <w:proofErr w:type="spellStart"/>
      <w:r w:rsidRPr="00860394">
        <w:rPr>
          <w:rFonts w:ascii="Times New Roman" w:hAnsi="Times New Roman"/>
          <w:sz w:val="24"/>
          <w:szCs w:val="24"/>
        </w:rPr>
        <w:t>coliformes</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fecais</w:t>
      </w:r>
      <w:proofErr w:type="spellEnd"/>
      <w:r w:rsidRPr="00860394">
        <w:rPr>
          <w:rFonts w:ascii="Times New Roman" w:hAnsi="Times New Roman"/>
          <w:sz w:val="24"/>
          <w:szCs w:val="24"/>
        </w:rPr>
        <w:t xml:space="preserve">, turbidez, demanda bioquímica de </w:t>
      </w:r>
      <w:proofErr w:type="spellStart"/>
      <w:r w:rsidRPr="00860394">
        <w:rPr>
          <w:rFonts w:ascii="Times New Roman" w:hAnsi="Times New Roman"/>
          <w:sz w:val="24"/>
          <w:szCs w:val="24"/>
        </w:rPr>
        <w:t>oxigênio</w:t>
      </w:r>
      <w:proofErr w:type="spellEnd"/>
      <w:r w:rsidRPr="00860394">
        <w:rPr>
          <w:rFonts w:ascii="Times New Roman" w:hAnsi="Times New Roman"/>
          <w:sz w:val="24"/>
          <w:szCs w:val="24"/>
        </w:rPr>
        <w:t xml:space="preserve"> (DBO), fosfatos (PO4) e nitratos (NO3). O ICA é representativo da </w:t>
      </w:r>
      <w:proofErr w:type="spellStart"/>
      <w:r w:rsidRPr="00860394">
        <w:rPr>
          <w:rFonts w:ascii="Times New Roman" w:hAnsi="Times New Roman"/>
          <w:sz w:val="24"/>
          <w:szCs w:val="24"/>
        </w:rPr>
        <w:t>qualidade</w:t>
      </w:r>
      <w:proofErr w:type="spellEnd"/>
      <w:r w:rsidRPr="00860394">
        <w:rPr>
          <w:rFonts w:ascii="Times New Roman" w:hAnsi="Times New Roman"/>
          <w:sz w:val="24"/>
          <w:szCs w:val="24"/>
        </w:rPr>
        <w:t xml:space="preserve"> da </w:t>
      </w:r>
      <w:proofErr w:type="spellStart"/>
      <w:r w:rsidRPr="00860394">
        <w:rPr>
          <w:rFonts w:ascii="Times New Roman" w:hAnsi="Times New Roman"/>
          <w:sz w:val="24"/>
          <w:szCs w:val="24"/>
        </w:rPr>
        <w:t>água</w:t>
      </w:r>
      <w:proofErr w:type="spellEnd"/>
      <w:r w:rsidRPr="00860394">
        <w:rPr>
          <w:rFonts w:ascii="Times New Roman" w:hAnsi="Times New Roman"/>
          <w:sz w:val="24"/>
          <w:szCs w:val="24"/>
        </w:rPr>
        <w:t xml:space="preserve"> em </w:t>
      </w:r>
      <w:proofErr w:type="spellStart"/>
      <w:r w:rsidRPr="00860394">
        <w:rPr>
          <w:rFonts w:ascii="Times New Roman" w:hAnsi="Times New Roman"/>
          <w:sz w:val="24"/>
          <w:szCs w:val="24"/>
        </w:rPr>
        <w:t>uma</w:t>
      </w:r>
      <w:proofErr w:type="spellEnd"/>
      <w:r w:rsidRPr="00860394">
        <w:rPr>
          <w:rFonts w:ascii="Times New Roman" w:hAnsi="Times New Roman"/>
          <w:sz w:val="24"/>
          <w:szCs w:val="24"/>
        </w:rPr>
        <w:t xml:space="preserve"> área específica e da época em que a </w:t>
      </w:r>
      <w:proofErr w:type="spellStart"/>
      <w:r w:rsidRPr="00860394">
        <w:rPr>
          <w:rFonts w:ascii="Times New Roman" w:hAnsi="Times New Roman"/>
          <w:sz w:val="24"/>
          <w:szCs w:val="24"/>
        </w:rPr>
        <w:t>amostra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foi</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coletada</w:t>
      </w:r>
      <w:proofErr w:type="spellEnd"/>
      <w:r w:rsidRPr="00860394">
        <w:rPr>
          <w:rFonts w:ascii="Times New Roman" w:hAnsi="Times New Roman"/>
          <w:sz w:val="24"/>
          <w:szCs w:val="24"/>
        </w:rPr>
        <w:t xml:space="preserve">. Para as </w:t>
      </w:r>
      <w:proofErr w:type="spellStart"/>
      <w:r w:rsidRPr="00860394">
        <w:rPr>
          <w:rFonts w:ascii="Times New Roman" w:hAnsi="Times New Roman"/>
          <w:sz w:val="24"/>
          <w:szCs w:val="24"/>
        </w:rPr>
        <w:t>análises</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foram</w:t>
      </w:r>
      <w:proofErr w:type="spellEnd"/>
      <w:r w:rsidRPr="00860394">
        <w:rPr>
          <w:rFonts w:ascii="Times New Roman" w:hAnsi="Times New Roman"/>
          <w:sz w:val="24"/>
          <w:szCs w:val="24"/>
        </w:rPr>
        <w:t xml:space="preserve"> consideradas as técnicas dos MÉTODOS PADRÃO PARA EXAME DE ÁGUA E RESÍDUOS. </w:t>
      </w:r>
      <w:proofErr w:type="spellStart"/>
      <w:r w:rsidRPr="00860394">
        <w:rPr>
          <w:rFonts w:ascii="Times New Roman" w:hAnsi="Times New Roman"/>
          <w:sz w:val="24"/>
          <w:szCs w:val="24"/>
        </w:rPr>
        <w:t>Três</w:t>
      </w:r>
      <w:proofErr w:type="spellEnd"/>
      <w:r w:rsidRPr="00860394">
        <w:rPr>
          <w:rFonts w:ascii="Times New Roman" w:hAnsi="Times New Roman"/>
          <w:sz w:val="24"/>
          <w:szCs w:val="24"/>
        </w:rPr>
        <w:t xml:space="preserve"> pontos de </w:t>
      </w:r>
      <w:proofErr w:type="spellStart"/>
      <w:r w:rsidRPr="00860394">
        <w:rPr>
          <w:rFonts w:ascii="Times New Roman" w:hAnsi="Times New Roman"/>
          <w:sz w:val="24"/>
          <w:szCs w:val="24"/>
        </w:rPr>
        <w:t>amostragem</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foram</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estabelecidos</w:t>
      </w:r>
      <w:proofErr w:type="spellEnd"/>
      <w:r w:rsidRPr="00860394">
        <w:rPr>
          <w:rFonts w:ascii="Times New Roman" w:hAnsi="Times New Roman"/>
          <w:sz w:val="24"/>
          <w:szCs w:val="24"/>
        </w:rPr>
        <w:t xml:space="preserve"> no período de </w:t>
      </w:r>
      <w:proofErr w:type="spellStart"/>
      <w:r w:rsidRPr="00860394">
        <w:rPr>
          <w:rFonts w:ascii="Times New Roman" w:hAnsi="Times New Roman"/>
          <w:sz w:val="24"/>
          <w:szCs w:val="24"/>
        </w:rPr>
        <w:t>estiagem</w:t>
      </w:r>
      <w:proofErr w:type="spellEnd"/>
      <w:r w:rsidRPr="00860394">
        <w:rPr>
          <w:rFonts w:ascii="Times New Roman" w:hAnsi="Times New Roman"/>
          <w:sz w:val="24"/>
          <w:szCs w:val="24"/>
        </w:rPr>
        <w:t xml:space="preserve">. Os </w:t>
      </w:r>
      <w:proofErr w:type="spellStart"/>
      <w:r w:rsidRPr="00860394">
        <w:rPr>
          <w:rFonts w:ascii="Times New Roman" w:hAnsi="Times New Roman"/>
          <w:sz w:val="24"/>
          <w:szCs w:val="24"/>
        </w:rPr>
        <w:t>estudos</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concluem</w:t>
      </w:r>
      <w:proofErr w:type="spellEnd"/>
      <w:r w:rsidRPr="00860394">
        <w:rPr>
          <w:rFonts w:ascii="Times New Roman" w:hAnsi="Times New Roman"/>
          <w:sz w:val="24"/>
          <w:szCs w:val="24"/>
        </w:rPr>
        <w:t xml:space="preserve"> que a </w:t>
      </w:r>
      <w:proofErr w:type="spellStart"/>
      <w:r w:rsidRPr="00860394">
        <w:rPr>
          <w:rFonts w:ascii="Times New Roman" w:hAnsi="Times New Roman"/>
          <w:sz w:val="24"/>
          <w:szCs w:val="24"/>
        </w:rPr>
        <w:t>bacia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média</w:t>
      </w:r>
      <w:proofErr w:type="spellEnd"/>
      <w:r w:rsidRPr="00860394">
        <w:rPr>
          <w:rFonts w:ascii="Times New Roman" w:hAnsi="Times New Roman"/>
          <w:sz w:val="24"/>
          <w:szCs w:val="24"/>
        </w:rPr>
        <w:t xml:space="preserve"> do rio Portoviejo no ponto número </w:t>
      </w:r>
      <w:proofErr w:type="spellStart"/>
      <w:r w:rsidRPr="00860394">
        <w:rPr>
          <w:rFonts w:ascii="Times New Roman" w:hAnsi="Times New Roman"/>
          <w:sz w:val="24"/>
          <w:szCs w:val="24"/>
        </w:rPr>
        <w:t>um</w:t>
      </w:r>
      <w:proofErr w:type="spellEnd"/>
      <w:r w:rsidRPr="00860394">
        <w:rPr>
          <w:rFonts w:ascii="Times New Roman" w:hAnsi="Times New Roman"/>
          <w:sz w:val="24"/>
          <w:szCs w:val="24"/>
        </w:rPr>
        <w:t xml:space="preserve"> (1) da </w:t>
      </w:r>
      <w:proofErr w:type="spellStart"/>
      <w:r w:rsidRPr="00860394">
        <w:rPr>
          <w:rFonts w:ascii="Times New Roman" w:hAnsi="Times New Roman"/>
          <w:sz w:val="24"/>
          <w:szCs w:val="24"/>
        </w:rPr>
        <w:t>amostragem</w:t>
      </w:r>
      <w:proofErr w:type="spellEnd"/>
      <w:r w:rsidRPr="00860394">
        <w:rPr>
          <w:rFonts w:ascii="Times New Roman" w:hAnsi="Times New Roman"/>
          <w:sz w:val="24"/>
          <w:szCs w:val="24"/>
        </w:rPr>
        <w:t xml:space="preserve"> (San Ignacio), </w:t>
      </w:r>
      <w:proofErr w:type="spellStart"/>
      <w:r w:rsidRPr="00860394">
        <w:rPr>
          <w:rFonts w:ascii="Times New Roman" w:hAnsi="Times New Roman"/>
          <w:sz w:val="24"/>
          <w:szCs w:val="24"/>
        </w:rPr>
        <w:t>tem</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um</w:t>
      </w:r>
      <w:proofErr w:type="spellEnd"/>
      <w:r w:rsidRPr="00860394">
        <w:rPr>
          <w:rFonts w:ascii="Times New Roman" w:hAnsi="Times New Roman"/>
          <w:sz w:val="24"/>
          <w:szCs w:val="24"/>
        </w:rPr>
        <w:t xml:space="preserve"> índice ICA de 69,97%, o que </w:t>
      </w:r>
      <w:proofErr w:type="spellStart"/>
      <w:r w:rsidRPr="00860394">
        <w:rPr>
          <w:rFonts w:ascii="Times New Roman" w:hAnsi="Times New Roman"/>
          <w:sz w:val="24"/>
          <w:szCs w:val="24"/>
        </w:rPr>
        <w:t>lhe</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dá</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uma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classificação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média</w:t>
      </w:r>
      <w:proofErr w:type="spellEnd"/>
      <w:r w:rsidRPr="00860394">
        <w:rPr>
          <w:rFonts w:ascii="Times New Roman" w:hAnsi="Times New Roman"/>
          <w:sz w:val="24"/>
          <w:szCs w:val="24"/>
        </w:rPr>
        <w:t xml:space="preserve">. No ponto </w:t>
      </w:r>
      <w:proofErr w:type="spellStart"/>
      <w:r w:rsidRPr="00860394">
        <w:rPr>
          <w:rFonts w:ascii="Times New Roman" w:hAnsi="Times New Roman"/>
          <w:sz w:val="24"/>
          <w:szCs w:val="24"/>
        </w:rPr>
        <w:t>dois</w:t>
      </w:r>
      <w:proofErr w:type="spellEnd"/>
      <w:r w:rsidRPr="00860394">
        <w:rPr>
          <w:rFonts w:ascii="Times New Roman" w:hAnsi="Times New Roman"/>
          <w:sz w:val="24"/>
          <w:szCs w:val="24"/>
        </w:rPr>
        <w:t xml:space="preserve"> (2) da </w:t>
      </w:r>
      <w:proofErr w:type="spellStart"/>
      <w:r w:rsidRPr="00860394">
        <w:rPr>
          <w:rFonts w:ascii="Times New Roman" w:hAnsi="Times New Roman"/>
          <w:sz w:val="24"/>
          <w:szCs w:val="24"/>
        </w:rPr>
        <w:t>amostragem</w:t>
      </w:r>
      <w:proofErr w:type="spellEnd"/>
      <w:r w:rsidRPr="00860394">
        <w:rPr>
          <w:rFonts w:ascii="Times New Roman" w:hAnsi="Times New Roman"/>
          <w:sz w:val="24"/>
          <w:szCs w:val="24"/>
        </w:rPr>
        <w:t xml:space="preserve"> (Porto Real), o ICA </w:t>
      </w:r>
      <w:proofErr w:type="spellStart"/>
      <w:r w:rsidRPr="00860394">
        <w:rPr>
          <w:rFonts w:ascii="Times New Roman" w:hAnsi="Times New Roman"/>
          <w:sz w:val="24"/>
          <w:szCs w:val="24"/>
        </w:rPr>
        <w:t>rendeu</w:t>
      </w:r>
      <w:proofErr w:type="spellEnd"/>
      <w:r w:rsidRPr="00860394">
        <w:rPr>
          <w:rFonts w:ascii="Times New Roman" w:hAnsi="Times New Roman"/>
          <w:sz w:val="24"/>
          <w:szCs w:val="24"/>
        </w:rPr>
        <w:t xml:space="preserve"> 60,11%, </w:t>
      </w:r>
      <w:proofErr w:type="spellStart"/>
      <w:r w:rsidRPr="00860394">
        <w:rPr>
          <w:rFonts w:ascii="Times New Roman" w:hAnsi="Times New Roman"/>
          <w:sz w:val="24"/>
          <w:szCs w:val="24"/>
        </w:rPr>
        <w:t>obtendo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uma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classificação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média</w:t>
      </w:r>
      <w:proofErr w:type="spellEnd"/>
      <w:r w:rsidRPr="00860394">
        <w:rPr>
          <w:rFonts w:ascii="Times New Roman" w:hAnsi="Times New Roman"/>
          <w:sz w:val="24"/>
          <w:szCs w:val="24"/>
        </w:rPr>
        <w:t xml:space="preserve"> e por </w:t>
      </w:r>
      <w:proofErr w:type="spellStart"/>
      <w:r w:rsidRPr="00860394">
        <w:rPr>
          <w:rFonts w:ascii="Times New Roman" w:hAnsi="Times New Roman"/>
          <w:sz w:val="24"/>
          <w:szCs w:val="24"/>
        </w:rPr>
        <w:t>fim</w:t>
      </w:r>
      <w:proofErr w:type="spellEnd"/>
      <w:r w:rsidRPr="00860394">
        <w:rPr>
          <w:rFonts w:ascii="Times New Roman" w:hAnsi="Times New Roman"/>
          <w:sz w:val="24"/>
          <w:szCs w:val="24"/>
        </w:rPr>
        <w:t xml:space="preserve"> no ponto indicado como </w:t>
      </w:r>
      <w:proofErr w:type="spellStart"/>
      <w:r w:rsidRPr="00860394">
        <w:rPr>
          <w:rFonts w:ascii="Times New Roman" w:hAnsi="Times New Roman"/>
          <w:sz w:val="24"/>
          <w:szCs w:val="24"/>
        </w:rPr>
        <w:t>três</w:t>
      </w:r>
      <w:proofErr w:type="spellEnd"/>
      <w:r w:rsidRPr="00860394">
        <w:rPr>
          <w:rFonts w:ascii="Times New Roman" w:hAnsi="Times New Roman"/>
          <w:sz w:val="24"/>
          <w:szCs w:val="24"/>
        </w:rPr>
        <w:t xml:space="preserve"> (3) para a </w:t>
      </w:r>
      <w:proofErr w:type="spellStart"/>
      <w:r w:rsidRPr="00860394">
        <w:rPr>
          <w:rFonts w:ascii="Times New Roman" w:hAnsi="Times New Roman"/>
          <w:sz w:val="24"/>
          <w:szCs w:val="24"/>
        </w:rPr>
        <w:t>amostragem</w:t>
      </w:r>
      <w:proofErr w:type="spellEnd"/>
      <w:r w:rsidRPr="00860394">
        <w:rPr>
          <w:rFonts w:ascii="Times New Roman" w:hAnsi="Times New Roman"/>
          <w:sz w:val="24"/>
          <w:szCs w:val="24"/>
        </w:rPr>
        <w:t xml:space="preserve">, o ICA </w:t>
      </w:r>
      <w:proofErr w:type="spellStart"/>
      <w:r w:rsidRPr="00860394">
        <w:rPr>
          <w:rFonts w:ascii="Times New Roman" w:hAnsi="Times New Roman"/>
          <w:sz w:val="24"/>
          <w:szCs w:val="24"/>
        </w:rPr>
        <w:t>projetou</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um</w:t>
      </w:r>
      <w:proofErr w:type="spellEnd"/>
      <w:r w:rsidRPr="00860394">
        <w:rPr>
          <w:rFonts w:ascii="Times New Roman" w:hAnsi="Times New Roman"/>
          <w:sz w:val="24"/>
          <w:szCs w:val="24"/>
        </w:rPr>
        <w:t xml:space="preserve"> valor de 43,26%, que o categoriza </w:t>
      </w:r>
      <w:proofErr w:type="spellStart"/>
      <w:r w:rsidRPr="00860394">
        <w:rPr>
          <w:rFonts w:ascii="Times New Roman" w:hAnsi="Times New Roman"/>
          <w:sz w:val="24"/>
          <w:szCs w:val="24"/>
        </w:rPr>
        <w:t>tão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mau</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Conclui</w:t>
      </w:r>
      <w:proofErr w:type="spellEnd"/>
      <w:r w:rsidRPr="00860394">
        <w:rPr>
          <w:rFonts w:ascii="Times New Roman" w:hAnsi="Times New Roman"/>
          <w:sz w:val="24"/>
          <w:szCs w:val="24"/>
        </w:rPr>
        <w:t>-</w:t>
      </w:r>
      <w:proofErr w:type="spellStart"/>
      <w:r w:rsidRPr="00860394">
        <w:rPr>
          <w:rFonts w:ascii="Times New Roman" w:hAnsi="Times New Roman"/>
          <w:sz w:val="24"/>
          <w:szCs w:val="24"/>
        </w:rPr>
        <w:t>se</w:t>
      </w:r>
      <w:proofErr w:type="spellEnd"/>
      <w:r w:rsidRPr="00860394">
        <w:rPr>
          <w:rFonts w:ascii="Times New Roman" w:hAnsi="Times New Roman"/>
          <w:sz w:val="24"/>
          <w:szCs w:val="24"/>
        </w:rPr>
        <w:t xml:space="preserve"> que: nos </w:t>
      </w:r>
      <w:proofErr w:type="spellStart"/>
      <w:r w:rsidRPr="00860394">
        <w:rPr>
          <w:rFonts w:ascii="Times New Roman" w:hAnsi="Times New Roman"/>
          <w:sz w:val="24"/>
          <w:szCs w:val="24"/>
        </w:rPr>
        <w:t>três</w:t>
      </w:r>
      <w:proofErr w:type="spellEnd"/>
      <w:r w:rsidRPr="00860394">
        <w:rPr>
          <w:rFonts w:ascii="Times New Roman" w:hAnsi="Times New Roman"/>
          <w:sz w:val="24"/>
          <w:szCs w:val="24"/>
        </w:rPr>
        <w:t xml:space="preserve"> pontos do rio Portoviejo, a </w:t>
      </w:r>
      <w:proofErr w:type="spellStart"/>
      <w:r w:rsidRPr="00860394">
        <w:rPr>
          <w:rFonts w:ascii="Times New Roman" w:hAnsi="Times New Roman"/>
          <w:sz w:val="24"/>
          <w:szCs w:val="24"/>
        </w:rPr>
        <w:t>qualidade</w:t>
      </w:r>
      <w:proofErr w:type="spellEnd"/>
      <w:r w:rsidRPr="00860394">
        <w:rPr>
          <w:rFonts w:ascii="Times New Roman" w:hAnsi="Times New Roman"/>
          <w:sz w:val="24"/>
          <w:szCs w:val="24"/>
        </w:rPr>
        <w:t xml:space="preserve"> da </w:t>
      </w:r>
      <w:proofErr w:type="spellStart"/>
      <w:r w:rsidRPr="00860394">
        <w:rPr>
          <w:rFonts w:ascii="Times New Roman" w:hAnsi="Times New Roman"/>
          <w:sz w:val="24"/>
          <w:szCs w:val="24"/>
        </w:rPr>
        <w:t>água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diminui</w:t>
      </w:r>
      <w:proofErr w:type="spellEnd"/>
      <w:r w:rsidRPr="00860394">
        <w:rPr>
          <w:rFonts w:ascii="Times New Roman" w:hAnsi="Times New Roman"/>
          <w:sz w:val="24"/>
          <w:szCs w:val="24"/>
        </w:rPr>
        <w:t xml:space="preserve"> à medida que </w:t>
      </w:r>
      <w:proofErr w:type="spellStart"/>
      <w:r w:rsidRPr="00860394">
        <w:rPr>
          <w:rFonts w:ascii="Times New Roman" w:hAnsi="Times New Roman"/>
          <w:sz w:val="24"/>
          <w:szCs w:val="24"/>
        </w:rPr>
        <w:t>avança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ao</w:t>
      </w:r>
      <w:proofErr w:type="spellEnd"/>
      <w:r w:rsidRPr="00860394">
        <w:rPr>
          <w:rFonts w:ascii="Times New Roman" w:hAnsi="Times New Roman"/>
          <w:sz w:val="24"/>
          <w:szCs w:val="24"/>
        </w:rPr>
        <w:t xml:space="preserve"> longo do </w:t>
      </w:r>
      <w:proofErr w:type="spellStart"/>
      <w:r w:rsidRPr="00860394">
        <w:rPr>
          <w:rFonts w:ascii="Times New Roman" w:hAnsi="Times New Roman"/>
          <w:sz w:val="24"/>
          <w:szCs w:val="24"/>
        </w:rPr>
        <w:t>seu</w:t>
      </w:r>
      <w:proofErr w:type="spellEnd"/>
      <w:r w:rsidRPr="00860394">
        <w:rPr>
          <w:rFonts w:ascii="Times New Roman" w:hAnsi="Times New Roman"/>
          <w:sz w:val="24"/>
          <w:szCs w:val="24"/>
        </w:rPr>
        <w:t xml:space="preserve"> curso, principalmente </w:t>
      </w:r>
      <w:proofErr w:type="spellStart"/>
      <w:r w:rsidRPr="00860394">
        <w:rPr>
          <w:rFonts w:ascii="Times New Roman" w:hAnsi="Times New Roman"/>
          <w:sz w:val="24"/>
          <w:szCs w:val="24"/>
        </w:rPr>
        <w:t>devido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ao</w:t>
      </w:r>
      <w:proofErr w:type="spellEnd"/>
      <w:r w:rsidRPr="00860394">
        <w:rPr>
          <w:rFonts w:ascii="Times New Roman" w:hAnsi="Times New Roman"/>
          <w:sz w:val="24"/>
          <w:szCs w:val="24"/>
        </w:rPr>
        <w:t xml:space="preserve"> despejo clandestino de </w:t>
      </w:r>
      <w:proofErr w:type="spellStart"/>
      <w:r w:rsidRPr="00860394">
        <w:rPr>
          <w:rFonts w:ascii="Times New Roman" w:hAnsi="Times New Roman"/>
          <w:sz w:val="24"/>
          <w:szCs w:val="24"/>
        </w:rPr>
        <w:t>águas</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residuais</w:t>
      </w:r>
      <w:proofErr w:type="spellEnd"/>
      <w:r w:rsidRPr="00860394">
        <w:rPr>
          <w:rFonts w:ascii="Times New Roman" w:hAnsi="Times New Roman"/>
          <w:sz w:val="24"/>
          <w:szCs w:val="24"/>
        </w:rPr>
        <w:t xml:space="preserve"> existentes </w:t>
      </w:r>
      <w:proofErr w:type="spellStart"/>
      <w:r w:rsidRPr="00860394">
        <w:rPr>
          <w:rFonts w:ascii="Times New Roman" w:hAnsi="Times New Roman"/>
          <w:sz w:val="24"/>
          <w:szCs w:val="24"/>
        </w:rPr>
        <w:t>ao</w:t>
      </w:r>
      <w:proofErr w:type="spellEnd"/>
      <w:r w:rsidRPr="00860394">
        <w:rPr>
          <w:rFonts w:ascii="Times New Roman" w:hAnsi="Times New Roman"/>
          <w:sz w:val="24"/>
          <w:szCs w:val="24"/>
        </w:rPr>
        <w:t xml:space="preserve"> longo </w:t>
      </w:r>
      <w:proofErr w:type="spellStart"/>
      <w:r w:rsidRPr="00860394">
        <w:rPr>
          <w:rFonts w:ascii="Times New Roman" w:hAnsi="Times New Roman"/>
          <w:sz w:val="24"/>
          <w:szCs w:val="24"/>
        </w:rPr>
        <w:t>deste</w:t>
      </w:r>
      <w:proofErr w:type="spellEnd"/>
      <w:r w:rsidRPr="00860394">
        <w:rPr>
          <w:rFonts w:ascii="Times New Roman" w:hAnsi="Times New Roman"/>
          <w:sz w:val="24"/>
          <w:szCs w:val="24"/>
        </w:rPr>
        <w:t xml:space="preserve"> afluente. </w:t>
      </w:r>
      <w:proofErr w:type="spellStart"/>
      <w:r w:rsidRPr="00860394">
        <w:rPr>
          <w:rFonts w:ascii="Times New Roman" w:hAnsi="Times New Roman"/>
          <w:sz w:val="24"/>
          <w:szCs w:val="24"/>
        </w:rPr>
        <w:t>Portanto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estratégias</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são</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necessárias</w:t>
      </w:r>
      <w:proofErr w:type="spellEnd"/>
      <w:r w:rsidRPr="00860394">
        <w:rPr>
          <w:rFonts w:ascii="Times New Roman" w:hAnsi="Times New Roman"/>
          <w:sz w:val="24"/>
          <w:szCs w:val="24"/>
        </w:rPr>
        <w:t xml:space="preserve"> para controlar e prevenir a </w:t>
      </w:r>
      <w:proofErr w:type="spellStart"/>
      <w:r w:rsidRPr="00860394">
        <w:rPr>
          <w:rFonts w:ascii="Times New Roman" w:hAnsi="Times New Roman"/>
          <w:sz w:val="24"/>
          <w:szCs w:val="24"/>
        </w:rPr>
        <w:t>poluição</w:t>
      </w:r>
      <w:proofErr w:type="spellEnd"/>
      <w:r w:rsidRPr="00860394">
        <w:rPr>
          <w:rFonts w:ascii="Times New Roman" w:hAnsi="Times New Roman"/>
          <w:sz w:val="24"/>
          <w:szCs w:val="24"/>
        </w:rPr>
        <w:t xml:space="preserve"> da </w:t>
      </w:r>
      <w:proofErr w:type="spellStart"/>
      <w:r w:rsidRPr="00860394">
        <w:rPr>
          <w:rFonts w:ascii="Times New Roman" w:hAnsi="Times New Roman"/>
          <w:sz w:val="24"/>
          <w:szCs w:val="24"/>
        </w:rPr>
        <w:t>água</w:t>
      </w:r>
      <w:proofErr w:type="spellEnd"/>
      <w:r w:rsidRPr="00860394">
        <w:rPr>
          <w:rFonts w:ascii="Times New Roman" w:hAnsi="Times New Roman"/>
          <w:sz w:val="24"/>
          <w:szCs w:val="24"/>
        </w:rPr>
        <w:t xml:space="preserve"> na </w:t>
      </w:r>
      <w:proofErr w:type="spellStart"/>
      <w:r w:rsidRPr="00860394">
        <w:rPr>
          <w:rFonts w:ascii="Times New Roman" w:hAnsi="Times New Roman"/>
          <w:sz w:val="24"/>
          <w:szCs w:val="24"/>
        </w:rPr>
        <w:t>bacia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média</w:t>
      </w:r>
      <w:proofErr w:type="spellEnd"/>
      <w:r w:rsidRPr="00860394">
        <w:rPr>
          <w:rFonts w:ascii="Times New Roman" w:hAnsi="Times New Roman"/>
          <w:sz w:val="24"/>
          <w:szCs w:val="24"/>
        </w:rPr>
        <w:t xml:space="preserve"> do rio Portoviejo.</w:t>
      </w:r>
    </w:p>
    <w:p w:rsidR="00FF5C0F" w:rsidRPr="00D26696" w:rsidRDefault="00860394" w:rsidP="00860394">
      <w:pPr>
        <w:spacing w:after="0" w:line="360" w:lineRule="auto"/>
        <w:jc w:val="both"/>
        <w:rPr>
          <w:rFonts w:ascii="Times New Roman" w:hAnsi="Times New Roman"/>
          <w:sz w:val="24"/>
          <w:szCs w:val="24"/>
        </w:rPr>
      </w:pPr>
      <w:r w:rsidRPr="00860394">
        <w:rPr>
          <w:rFonts w:ascii="Times New Roman" w:hAnsi="Times New Roman"/>
          <w:b/>
          <w:sz w:val="24"/>
          <w:szCs w:val="24"/>
        </w:rPr>
        <w:t xml:space="preserve"> </w:t>
      </w:r>
      <w:proofErr w:type="spellStart"/>
      <w:r w:rsidRPr="00860394">
        <w:rPr>
          <w:rFonts w:ascii="Times New Roman" w:hAnsi="Times New Roman"/>
          <w:b/>
          <w:sz w:val="24"/>
          <w:szCs w:val="24"/>
        </w:rPr>
        <w:t>Palavras</w:t>
      </w:r>
      <w:proofErr w:type="spellEnd"/>
      <w:r w:rsidRPr="00860394">
        <w:rPr>
          <w:rFonts w:ascii="Times New Roman" w:hAnsi="Times New Roman"/>
          <w:b/>
          <w:sz w:val="24"/>
          <w:szCs w:val="24"/>
        </w:rPr>
        <w:t>-chave:</w:t>
      </w:r>
      <w:r w:rsidRPr="00860394">
        <w:rPr>
          <w:rFonts w:ascii="Times New Roman" w:hAnsi="Times New Roman"/>
          <w:sz w:val="24"/>
          <w:szCs w:val="24"/>
        </w:rPr>
        <w:t xml:space="preserve"> índice de </w:t>
      </w:r>
      <w:proofErr w:type="spellStart"/>
      <w:r w:rsidRPr="00860394">
        <w:rPr>
          <w:rFonts w:ascii="Times New Roman" w:hAnsi="Times New Roman"/>
          <w:sz w:val="24"/>
          <w:szCs w:val="24"/>
        </w:rPr>
        <w:t>qualidade</w:t>
      </w:r>
      <w:proofErr w:type="spellEnd"/>
      <w:r w:rsidRPr="00860394">
        <w:rPr>
          <w:rFonts w:ascii="Times New Roman" w:hAnsi="Times New Roman"/>
          <w:sz w:val="24"/>
          <w:szCs w:val="24"/>
        </w:rPr>
        <w:t xml:space="preserve"> da </w:t>
      </w:r>
      <w:proofErr w:type="spellStart"/>
      <w:r w:rsidRPr="00860394">
        <w:rPr>
          <w:rFonts w:ascii="Times New Roman" w:hAnsi="Times New Roman"/>
          <w:sz w:val="24"/>
          <w:szCs w:val="24"/>
        </w:rPr>
        <w:t>água</w:t>
      </w:r>
      <w:proofErr w:type="spellEnd"/>
      <w:r w:rsidRPr="00860394">
        <w:rPr>
          <w:rFonts w:ascii="Times New Roman" w:hAnsi="Times New Roman"/>
          <w:sz w:val="24"/>
          <w:szCs w:val="24"/>
        </w:rPr>
        <w:t xml:space="preserve"> (ICA); </w:t>
      </w:r>
      <w:proofErr w:type="spellStart"/>
      <w:r w:rsidRPr="00860394">
        <w:rPr>
          <w:rFonts w:ascii="Times New Roman" w:hAnsi="Times New Roman"/>
          <w:sz w:val="24"/>
          <w:szCs w:val="24"/>
        </w:rPr>
        <w:t>Bacia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média</w:t>
      </w:r>
      <w:proofErr w:type="spellEnd"/>
      <w:r w:rsidRPr="00860394">
        <w:rPr>
          <w:rFonts w:ascii="Times New Roman" w:hAnsi="Times New Roman"/>
          <w:sz w:val="24"/>
          <w:szCs w:val="24"/>
        </w:rPr>
        <w:t xml:space="preserve"> do rio Portoviejo; </w:t>
      </w:r>
      <w:proofErr w:type="spellStart"/>
      <w:r w:rsidRPr="00860394">
        <w:rPr>
          <w:rFonts w:ascii="Times New Roman" w:hAnsi="Times New Roman"/>
          <w:sz w:val="24"/>
          <w:szCs w:val="24"/>
        </w:rPr>
        <w:t>prevenção</w:t>
      </w:r>
      <w:proofErr w:type="spellEnd"/>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Los países latinoamericanos gozan de las mayores reservas de agua dulce del mundo; sin embargo, tienen muchos desafíos por delante respecto a la gestión de los recursos hídricos. Basándose en el análisis y la evaluación de los resultados de numerosas investigaciones en torno al agua, se puede afirmar que, el uso intensivo de agua, la mayor variabilidad de las precipitaciones y la contaminación son factores que se conjugan en muchos lugares transformando al agua en uno de los principales riesgos para el progreso económico, la erradicación de la pobreza y el desarrollo sostenible. (Banco Mundial, 2019). </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Es así que, el deterioro de la calidad del agua se ha convertido en motivo de preocupación a nivel mundial, puesto que cada vez más, el agua limpia escasea y escaseará aún más a medida que la demanda de la población y de la propia naturaleza aumente para sostener unos ecosistemas en grave peligro. (</w:t>
      </w:r>
      <w:proofErr w:type="spellStart"/>
      <w:r w:rsidRPr="00860394">
        <w:rPr>
          <w:rFonts w:ascii="Times New Roman" w:hAnsi="Times New Roman"/>
          <w:sz w:val="24"/>
          <w:szCs w:val="24"/>
        </w:rPr>
        <w:t>Ban</w:t>
      </w:r>
      <w:proofErr w:type="spellEnd"/>
      <w:r w:rsidRPr="00860394">
        <w:rPr>
          <w:rFonts w:ascii="Times New Roman" w:hAnsi="Times New Roman"/>
          <w:sz w:val="24"/>
          <w:szCs w:val="24"/>
        </w:rPr>
        <w:t xml:space="preserve"> Ki-</w:t>
      </w:r>
      <w:proofErr w:type="spellStart"/>
      <w:r w:rsidRPr="00860394">
        <w:rPr>
          <w:rFonts w:ascii="Times New Roman" w:hAnsi="Times New Roman"/>
          <w:sz w:val="24"/>
          <w:szCs w:val="24"/>
        </w:rPr>
        <w:t>moon</w:t>
      </w:r>
      <w:proofErr w:type="spellEnd"/>
      <w:r w:rsidRPr="00860394">
        <w:rPr>
          <w:rFonts w:ascii="Times New Roman" w:hAnsi="Times New Roman"/>
          <w:sz w:val="24"/>
          <w:szCs w:val="24"/>
        </w:rPr>
        <w:t>, 2014). Por ello, se requiere garantizar acceso universal al agua, mejorar la eficiencia de su gestión y disminuir la contaminación de los acuíferos (Iriarte, 2019).</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A nivel global, el principal problema relacionado con la calidad del agua lo constituye la eutrofización, que es el resultado de un aumento de los niveles de nutrientes (generalmente fósforo y nitrógeno) y afecta sustancialmente a los usos del agua. (ONU, 2014). </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Esta situación no es ajena al Ecuador, ya que según (Cevallos, Gómez, &amp; Roldan, 2015), el Ecuador es un país rico en cantidad de agua, más no en calidad, pues, de acuerdo a varias fuentes el 70% de los ríos de Ecuador se encuentran en procesos críticos de contaminación. Estos autores también refieren que; los Ríos más contaminados a nivel nacional son el río Guayas en la provincia de Guayas, el río </w:t>
      </w:r>
      <w:proofErr w:type="spellStart"/>
      <w:r w:rsidRPr="00860394">
        <w:rPr>
          <w:rFonts w:ascii="Times New Roman" w:hAnsi="Times New Roman"/>
          <w:sz w:val="24"/>
          <w:szCs w:val="24"/>
        </w:rPr>
        <w:t>Machángara</w:t>
      </w:r>
      <w:proofErr w:type="spellEnd"/>
      <w:r w:rsidRPr="00860394">
        <w:rPr>
          <w:rFonts w:ascii="Times New Roman" w:hAnsi="Times New Roman"/>
          <w:sz w:val="24"/>
          <w:szCs w:val="24"/>
        </w:rPr>
        <w:t xml:space="preserve"> en la provincia de Pichincha, el río Esmeraldas en la provincia de Esmeraldas, el río </w:t>
      </w:r>
      <w:proofErr w:type="spellStart"/>
      <w:r w:rsidRPr="00860394">
        <w:rPr>
          <w:rFonts w:ascii="Times New Roman" w:hAnsi="Times New Roman"/>
          <w:sz w:val="24"/>
          <w:szCs w:val="24"/>
        </w:rPr>
        <w:t>Cutuchi</w:t>
      </w:r>
      <w:proofErr w:type="spellEnd"/>
      <w:r w:rsidRPr="00860394">
        <w:rPr>
          <w:rFonts w:ascii="Times New Roman" w:hAnsi="Times New Roman"/>
          <w:sz w:val="24"/>
          <w:szCs w:val="24"/>
        </w:rPr>
        <w:t xml:space="preserve"> en la provincia de Cotopaxi, los ríos </w:t>
      </w:r>
      <w:proofErr w:type="spellStart"/>
      <w:r w:rsidRPr="00860394">
        <w:rPr>
          <w:rFonts w:ascii="Times New Roman" w:hAnsi="Times New Roman"/>
          <w:sz w:val="24"/>
          <w:szCs w:val="24"/>
        </w:rPr>
        <w:t>Sicalpa</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Chibunga</w:t>
      </w:r>
      <w:proofErr w:type="spellEnd"/>
      <w:r w:rsidRPr="00860394">
        <w:rPr>
          <w:rFonts w:ascii="Times New Roman" w:hAnsi="Times New Roman"/>
          <w:sz w:val="24"/>
          <w:szCs w:val="24"/>
        </w:rPr>
        <w:t xml:space="preserve"> y Chambo en la provincia de Chimborazo. (Cevallos, Gómez, &amp; Roldan, 2015)</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En línea con lo anterior, (</w:t>
      </w:r>
      <w:proofErr w:type="spellStart"/>
      <w:r w:rsidRPr="00860394">
        <w:rPr>
          <w:rFonts w:ascii="Times New Roman" w:hAnsi="Times New Roman"/>
          <w:sz w:val="24"/>
          <w:szCs w:val="24"/>
        </w:rPr>
        <w:t>Macias</w:t>
      </w:r>
      <w:proofErr w:type="spellEnd"/>
      <w:r w:rsidRPr="00860394">
        <w:rPr>
          <w:rFonts w:ascii="Times New Roman" w:hAnsi="Times New Roman"/>
          <w:sz w:val="24"/>
          <w:szCs w:val="24"/>
        </w:rPr>
        <w:t xml:space="preserve"> &amp; </w:t>
      </w:r>
      <w:proofErr w:type="spellStart"/>
      <w:r w:rsidRPr="00860394">
        <w:rPr>
          <w:rFonts w:ascii="Times New Roman" w:hAnsi="Times New Roman"/>
          <w:sz w:val="24"/>
          <w:szCs w:val="24"/>
        </w:rPr>
        <w:t>Diaz</w:t>
      </w:r>
      <w:proofErr w:type="spellEnd"/>
      <w:r w:rsidRPr="00860394">
        <w:rPr>
          <w:rFonts w:ascii="Times New Roman" w:hAnsi="Times New Roman"/>
          <w:sz w:val="24"/>
          <w:szCs w:val="24"/>
        </w:rPr>
        <w:t>, 2010), han expresado que otro de los recursos hídricos del Ecuador que ha visto comprometido la calidad de sus aguas es la cuenca del río Portoviejo, se sabe que, los principales problemas de contaminación, derivan del manejo inadecuado de los suelos y cultivos, además de otras fuentes de contaminación como las lubricadoras, hospitales, camales, y poblaciones cercanas que descargan directamente al río sin ningún tipo de control.</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Frente a este panorama, se requiere asegurar un suministro de agua limpia y saludable tanto para los humanos como para otros organismos y, de este modo, asegurar la sobrevivencia de los ecosistemas terrestres y con ello, preservar la vida de las personas y del planeta. Todo lo cual está en consonancia con uno de los 17 Objetivos Globales de la nueva Agenda para el Desarrollo Sostenible, el objetivo 6, el cual tiene como meta general, a decir del </w:t>
      </w:r>
      <w:proofErr w:type="spellStart"/>
      <w:r w:rsidRPr="00860394">
        <w:rPr>
          <w:rFonts w:ascii="Times New Roman" w:hAnsi="Times New Roman"/>
          <w:sz w:val="24"/>
          <w:szCs w:val="24"/>
        </w:rPr>
        <w:t>Sustainable</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Development</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Goals</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Fund</w:t>
      </w:r>
      <w:proofErr w:type="spellEnd"/>
      <w:r w:rsidRPr="00860394">
        <w:rPr>
          <w:rFonts w:ascii="Times New Roman" w:hAnsi="Times New Roman"/>
          <w:sz w:val="24"/>
          <w:szCs w:val="24"/>
        </w:rPr>
        <w:t xml:space="preserve"> (SDGF, 2019), garantizar la disponibilidad de agua y su gestión sostenible y el saneamiento para todos.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En tal sentido, la utilización de los sistemas hídricos está condicionada a la calidad de la masa de agua que contenga. Por lo general, la calidad del agua, se determina comparando las características físicas y químicas de una muestra de agua con unas directrices de calidad del agua o estándares. (ONU, 2014). En cuanto a los parámetros de calidad del agua según (Olguín, González, Sánchez, &amp; Zamora, 2010) se tienen: los físicos, químicos y microbiológicos, cuyos ensayos y pruebas en laboratorio son los métodos cuantitativos utilizados. De este modo, la evaluación de la calidad del agua permite tomar acciones de control y mitigación del mismo, garantizando el suministro de agua segura. (Torres, Cruz, &amp; Patino, 2018)</w:t>
      </w: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Para evaluar la calidad de agua se han aplicado diferentes sistemas, entre ellos se tiene el Índice de Calidad de Agua (ICA) que es una herramienta estadística para estimar la calidad de un cuerpo de agua. Sobre este particular, (Espinosa &amp; Rodríguez, 2016) han planteado que este índice propone clasificar en una escala de 0 a 100 la calidad representativa del agua, de acuerdo con los constituyentes evaluados; y esto, a su vez, hace posible calificar el agua según su estado como: Excelente, Bueno, Medio, Malo o Muy Malo. </w:t>
      </w:r>
    </w:p>
    <w:p w:rsidR="00860394" w:rsidRPr="00860394" w:rsidRDefault="00860394" w:rsidP="00860394">
      <w:pPr>
        <w:spacing w:after="0" w:line="360" w:lineRule="auto"/>
        <w:jc w:val="both"/>
        <w:rPr>
          <w:rFonts w:ascii="Times New Roman" w:hAnsi="Times New Roman"/>
          <w:szCs w:val="24"/>
        </w:rPr>
      </w:pPr>
    </w:p>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b/>
          <w:sz w:val="20"/>
          <w:szCs w:val="20"/>
        </w:rPr>
        <w:t>Tabla 1</w:t>
      </w:r>
      <w:r w:rsidRPr="00860394">
        <w:rPr>
          <w:rFonts w:ascii="Times New Roman" w:hAnsi="Times New Roman"/>
          <w:b/>
          <w:sz w:val="20"/>
          <w:szCs w:val="20"/>
        </w:rPr>
        <w:t>:</w:t>
      </w:r>
      <w:r w:rsidRPr="00860394">
        <w:rPr>
          <w:rFonts w:ascii="Times New Roman" w:hAnsi="Times New Roman"/>
          <w:sz w:val="20"/>
          <w:szCs w:val="20"/>
        </w:rPr>
        <w:t xml:space="preserve"> Rango de clasificación del ICA d</w:t>
      </w:r>
      <w:r w:rsidRPr="00860394">
        <w:rPr>
          <w:rFonts w:ascii="Times New Roman" w:hAnsi="Times New Roman"/>
          <w:sz w:val="20"/>
          <w:szCs w:val="20"/>
        </w:rPr>
        <w:t>e acuerdo al criterio general.</w:t>
      </w:r>
    </w:p>
    <w:tbl>
      <w:tblPr>
        <w:tblStyle w:val="Tabladelista2-nfasis5"/>
        <w:tblW w:w="7748" w:type="dxa"/>
        <w:jc w:val="center"/>
        <w:tblLayout w:type="fixed"/>
        <w:tblLook w:val="04A0" w:firstRow="1" w:lastRow="0" w:firstColumn="1" w:lastColumn="0" w:noHBand="0" w:noVBand="1"/>
      </w:tblPr>
      <w:tblGrid>
        <w:gridCol w:w="944"/>
        <w:gridCol w:w="1374"/>
        <w:gridCol w:w="1799"/>
        <w:gridCol w:w="3631"/>
      </w:tblGrid>
      <w:tr w:rsidR="00860394" w:rsidRPr="00860394" w:rsidTr="00526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Clase</w:t>
            </w:r>
          </w:p>
        </w:tc>
        <w:tc>
          <w:tcPr>
            <w:tcW w:w="1374" w:type="dxa"/>
          </w:tcPr>
          <w:p w:rsidR="00860394" w:rsidRPr="00860394" w:rsidRDefault="00860394" w:rsidP="0086039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Calidad</w:t>
            </w:r>
          </w:p>
        </w:tc>
        <w:tc>
          <w:tcPr>
            <w:tcW w:w="1799" w:type="dxa"/>
          </w:tcPr>
          <w:p w:rsidR="00860394" w:rsidRPr="00860394" w:rsidRDefault="00860394" w:rsidP="0086039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Índice de calidad</w:t>
            </w:r>
          </w:p>
        </w:tc>
        <w:tc>
          <w:tcPr>
            <w:tcW w:w="3631" w:type="dxa"/>
          </w:tcPr>
          <w:p w:rsidR="00860394" w:rsidRPr="00860394" w:rsidRDefault="00860394" w:rsidP="0086039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Significado</w:t>
            </w:r>
          </w:p>
        </w:tc>
      </w:tr>
      <w:tr w:rsidR="00860394" w:rsidRPr="00860394" w:rsidTr="0052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I</w:t>
            </w:r>
          </w:p>
        </w:tc>
        <w:tc>
          <w:tcPr>
            <w:tcW w:w="1374"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Excelente</w:t>
            </w:r>
          </w:p>
        </w:tc>
        <w:tc>
          <w:tcPr>
            <w:tcW w:w="1799"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91-100</w:t>
            </w:r>
          </w:p>
        </w:tc>
        <w:tc>
          <w:tcPr>
            <w:tcW w:w="3631"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Aguas muy limpias</w:t>
            </w:r>
          </w:p>
        </w:tc>
      </w:tr>
      <w:tr w:rsidR="00860394" w:rsidRPr="00860394" w:rsidTr="00526BDB">
        <w:trPr>
          <w:jc w:val="center"/>
        </w:trPr>
        <w:tc>
          <w:tcPr>
            <w:cnfStyle w:val="001000000000" w:firstRow="0" w:lastRow="0" w:firstColumn="1" w:lastColumn="0" w:oddVBand="0" w:evenVBand="0" w:oddHBand="0" w:evenHBand="0" w:firstRowFirstColumn="0" w:firstRowLastColumn="0" w:lastRowFirstColumn="0" w:lastRowLastColumn="0"/>
            <w:tcW w:w="944"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II</w:t>
            </w:r>
          </w:p>
        </w:tc>
        <w:tc>
          <w:tcPr>
            <w:tcW w:w="1374" w:type="dxa"/>
          </w:tcPr>
          <w:p w:rsidR="00860394" w:rsidRPr="00860394" w:rsidRDefault="00860394" w:rsidP="0086039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Buena</w:t>
            </w:r>
          </w:p>
        </w:tc>
        <w:tc>
          <w:tcPr>
            <w:tcW w:w="1799" w:type="dxa"/>
          </w:tcPr>
          <w:p w:rsidR="00860394" w:rsidRPr="00860394" w:rsidRDefault="00860394" w:rsidP="0086039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71-90</w:t>
            </w:r>
          </w:p>
        </w:tc>
        <w:tc>
          <w:tcPr>
            <w:tcW w:w="3631" w:type="dxa"/>
          </w:tcPr>
          <w:p w:rsidR="00860394" w:rsidRPr="00860394" w:rsidRDefault="00860394" w:rsidP="0086039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Aguas ligeramente contaminadas</w:t>
            </w:r>
          </w:p>
        </w:tc>
      </w:tr>
      <w:tr w:rsidR="00860394" w:rsidRPr="00860394" w:rsidTr="0052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III</w:t>
            </w:r>
          </w:p>
        </w:tc>
        <w:tc>
          <w:tcPr>
            <w:tcW w:w="1374"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Media</w:t>
            </w:r>
          </w:p>
        </w:tc>
        <w:tc>
          <w:tcPr>
            <w:tcW w:w="1799"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51-70</w:t>
            </w:r>
          </w:p>
        </w:tc>
        <w:tc>
          <w:tcPr>
            <w:tcW w:w="3631"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Aguas moderadamente contaminadas</w:t>
            </w:r>
          </w:p>
        </w:tc>
      </w:tr>
      <w:tr w:rsidR="00860394" w:rsidRPr="00860394" w:rsidTr="00526BDB">
        <w:trPr>
          <w:jc w:val="center"/>
        </w:trPr>
        <w:tc>
          <w:tcPr>
            <w:cnfStyle w:val="001000000000" w:firstRow="0" w:lastRow="0" w:firstColumn="1" w:lastColumn="0" w:oddVBand="0" w:evenVBand="0" w:oddHBand="0" w:evenHBand="0" w:firstRowFirstColumn="0" w:firstRowLastColumn="0" w:lastRowFirstColumn="0" w:lastRowLastColumn="0"/>
            <w:tcW w:w="944"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IV</w:t>
            </w:r>
          </w:p>
        </w:tc>
        <w:tc>
          <w:tcPr>
            <w:tcW w:w="1374" w:type="dxa"/>
          </w:tcPr>
          <w:p w:rsidR="00860394" w:rsidRPr="00860394" w:rsidRDefault="00860394" w:rsidP="0086039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Mala</w:t>
            </w:r>
          </w:p>
        </w:tc>
        <w:tc>
          <w:tcPr>
            <w:tcW w:w="1799" w:type="dxa"/>
          </w:tcPr>
          <w:p w:rsidR="00860394" w:rsidRPr="00860394" w:rsidRDefault="00860394" w:rsidP="0086039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26-50</w:t>
            </w:r>
          </w:p>
        </w:tc>
        <w:tc>
          <w:tcPr>
            <w:tcW w:w="3631" w:type="dxa"/>
          </w:tcPr>
          <w:p w:rsidR="00860394" w:rsidRPr="00860394" w:rsidRDefault="00860394" w:rsidP="0086039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Aguas muy contaminadas</w:t>
            </w:r>
          </w:p>
        </w:tc>
      </w:tr>
      <w:tr w:rsidR="00860394" w:rsidRPr="00860394" w:rsidTr="0052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V</w:t>
            </w:r>
          </w:p>
        </w:tc>
        <w:tc>
          <w:tcPr>
            <w:tcW w:w="1374"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Muy Mala</w:t>
            </w:r>
          </w:p>
        </w:tc>
        <w:tc>
          <w:tcPr>
            <w:tcW w:w="1799"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0-25</w:t>
            </w:r>
          </w:p>
        </w:tc>
        <w:tc>
          <w:tcPr>
            <w:tcW w:w="3631"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Aguas fuertemente contaminadas</w:t>
            </w:r>
          </w:p>
        </w:tc>
      </w:tr>
    </w:tbl>
    <w:p w:rsidR="00860394" w:rsidRDefault="00860394" w:rsidP="00860394">
      <w:pPr>
        <w:spacing w:after="0" w:line="360" w:lineRule="auto"/>
        <w:jc w:val="center"/>
        <w:rPr>
          <w:rFonts w:ascii="Times New Roman" w:hAnsi="Times New Roman"/>
          <w:sz w:val="18"/>
          <w:szCs w:val="18"/>
        </w:rPr>
      </w:pPr>
      <w:r w:rsidRPr="00860394">
        <w:rPr>
          <w:rFonts w:ascii="Times New Roman" w:hAnsi="Times New Roman"/>
          <w:b/>
          <w:sz w:val="18"/>
          <w:szCs w:val="18"/>
        </w:rPr>
        <w:t>Fuente:</w:t>
      </w:r>
      <w:r w:rsidRPr="00860394">
        <w:rPr>
          <w:rFonts w:ascii="Times New Roman" w:hAnsi="Times New Roman"/>
          <w:sz w:val="18"/>
          <w:szCs w:val="18"/>
        </w:rPr>
        <w:t xml:space="preserve"> (Quiroz &amp; Menéndez, 2016)</w:t>
      </w:r>
    </w:p>
    <w:p w:rsidR="00860394" w:rsidRPr="00860394" w:rsidRDefault="00860394" w:rsidP="00860394">
      <w:pPr>
        <w:spacing w:after="0" w:line="360" w:lineRule="auto"/>
        <w:jc w:val="center"/>
        <w:rPr>
          <w:rFonts w:ascii="Times New Roman" w:hAnsi="Times New Roman"/>
          <w:szCs w:val="18"/>
        </w:rPr>
      </w:pP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De este modo, la metodología más empleada para la obtención del ICA a nivel mundial y a la cual se suscribe Ecuador, es la propuesta por Brown (1970) y desarrollada por la </w:t>
      </w:r>
      <w:proofErr w:type="spellStart"/>
      <w:r w:rsidRPr="00860394">
        <w:rPr>
          <w:rFonts w:ascii="Times New Roman" w:hAnsi="Times New Roman"/>
          <w:sz w:val="24"/>
          <w:szCs w:val="24"/>
        </w:rPr>
        <w:t>National</w:t>
      </w:r>
      <w:proofErr w:type="spellEnd"/>
      <w:r w:rsidRPr="00860394">
        <w:rPr>
          <w:rFonts w:ascii="Times New Roman" w:hAnsi="Times New Roman"/>
          <w:sz w:val="24"/>
          <w:szCs w:val="24"/>
        </w:rPr>
        <w:t xml:space="preserve"> </w:t>
      </w:r>
      <w:proofErr w:type="spellStart"/>
      <w:r w:rsidRPr="00860394">
        <w:rPr>
          <w:rFonts w:ascii="Times New Roman" w:hAnsi="Times New Roman"/>
          <w:sz w:val="24"/>
          <w:szCs w:val="24"/>
        </w:rPr>
        <w:t>Sanitation</w:t>
      </w:r>
      <w:proofErr w:type="spellEnd"/>
      <w:r w:rsidRPr="00860394">
        <w:rPr>
          <w:rFonts w:ascii="Times New Roman" w:hAnsi="Times New Roman"/>
          <w:sz w:val="24"/>
          <w:szCs w:val="24"/>
        </w:rPr>
        <w:t xml:space="preserve"> Fundación (ICA-NSF). A este propósito, el ICA-NSF, comprende un rango entre 0 y 100 [unidades], que es un promedio ponderado de nueve parámetros de calidad de agua que contiene: temperatura, sólidos disueltos, oxígeno disuelto, pH, </w:t>
      </w:r>
      <w:proofErr w:type="spellStart"/>
      <w:r w:rsidRPr="00860394">
        <w:rPr>
          <w:rFonts w:ascii="Times New Roman" w:hAnsi="Times New Roman"/>
          <w:sz w:val="24"/>
          <w:szCs w:val="24"/>
        </w:rPr>
        <w:t>coliformes</w:t>
      </w:r>
      <w:proofErr w:type="spellEnd"/>
      <w:r w:rsidRPr="00860394">
        <w:rPr>
          <w:rFonts w:ascii="Times New Roman" w:hAnsi="Times New Roman"/>
          <w:sz w:val="24"/>
          <w:szCs w:val="24"/>
        </w:rPr>
        <w:t xml:space="preserve"> fecales, turbidez, demanda bioquímica de oxígeno (DBO), fosfatos (PO4) y nitratos (NO3). (Mayorga, Ramírez, &amp; Mayorga, 2000). </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Finalmente, los índices por parámetros son promediados a fin de obtener el ICA-NSF de la muestra de agua. Según (González, 2019), </w:t>
      </w:r>
      <w:proofErr w:type="gramStart"/>
      <w:r w:rsidRPr="00860394">
        <w:rPr>
          <w:rFonts w:ascii="Times New Roman" w:hAnsi="Times New Roman"/>
          <w:sz w:val="24"/>
          <w:szCs w:val="24"/>
        </w:rPr>
        <w:t>este  método</w:t>
      </w:r>
      <w:proofErr w:type="gramEnd"/>
      <w:r w:rsidRPr="00860394">
        <w:rPr>
          <w:rFonts w:ascii="Times New Roman" w:hAnsi="Times New Roman"/>
          <w:sz w:val="24"/>
          <w:szCs w:val="24"/>
        </w:rPr>
        <w:t xml:space="preserve"> se basa en un procedimiento que tiene en cuenta el promedio aritmético ponderado de nueve variables, y se determina a través de la ecuación (1)</w:t>
      </w:r>
    </w:p>
    <w:p w:rsidR="00860394" w:rsidRDefault="00860394" w:rsidP="00860394">
      <w:pPr>
        <w:spacing w:before="120" w:after="120" w:line="360" w:lineRule="auto"/>
        <w:jc w:val="center"/>
        <w:rPr>
          <w:rFonts w:ascii="Times New Roman" w:eastAsia="Times New Roman" w:hAnsi="Times New Roman"/>
          <w:i/>
          <w:sz w:val="24"/>
          <w:szCs w:val="24"/>
        </w:rPr>
      </w:pPr>
      <m:oMath>
        <m:r>
          <w:rPr>
            <w:rFonts w:ascii="Cambria Math" w:eastAsia="Cambria Math" w:hAnsi="Cambria Math" w:cs="Cambria Math"/>
            <w:sz w:val="24"/>
            <w:szCs w:val="24"/>
          </w:rPr>
          <m:t>ICA-NSF=</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9</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SI</m:t>
            </m:r>
          </m:e>
          <m:sub>
            <m:r>
              <w:rPr>
                <w:rFonts w:ascii="Cambria Math" w:eastAsia="Cambria Math" w:hAnsi="Cambria Math" w:cs="Cambria Math"/>
                <w:sz w:val="24"/>
                <w:szCs w:val="24"/>
              </w:rPr>
              <m:t>i</m:t>
            </m:r>
          </m:sub>
        </m:sSub>
        <m:r>
          <w:rPr>
            <w:rFonts w:ascii="Cambria Math" w:eastAsia="Cambria Math" w:hAnsi="Cambria Math" w:cs="Cambria Math"/>
            <w:sz w:val="24"/>
            <w:szCs w:val="24"/>
          </w:rPr>
          <m:t>*Wi</m:t>
        </m:r>
      </m:oMath>
      <w:r>
        <w:rPr>
          <w:rFonts w:ascii="Times New Roman" w:eastAsia="Times New Roman" w:hAnsi="Times New Roman"/>
          <w:sz w:val="24"/>
          <w:szCs w:val="24"/>
        </w:rPr>
        <w:t xml:space="preserve">     (1)</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Dónde:</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ICA-NSF: Índice de Calidad de Agua método NSF</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Si: Subíndice del parámetro i</w:t>
      </w:r>
    </w:p>
    <w:p w:rsidR="00860394" w:rsidRPr="00860394" w:rsidRDefault="00860394" w:rsidP="00860394">
      <w:pPr>
        <w:spacing w:after="0" w:line="360" w:lineRule="auto"/>
        <w:jc w:val="both"/>
        <w:rPr>
          <w:rFonts w:ascii="Times New Roman" w:hAnsi="Times New Roman"/>
          <w:sz w:val="24"/>
          <w:szCs w:val="24"/>
        </w:rPr>
      </w:pPr>
      <w:proofErr w:type="spellStart"/>
      <w:r w:rsidRPr="00860394">
        <w:rPr>
          <w:rFonts w:ascii="Times New Roman" w:hAnsi="Times New Roman"/>
          <w:sz w:val="24"/>
          <w:szCs w:val="24"/>
        </w:rPr>
        <w:t>Wi</w:t>
      </w:r>
      <w:proofErr w:type="spellEnd"/>
      <w:r w:rsidRPr="00860394">
        <w:rPr>
          <w:rFonts w:ascii="Times New Roman" w:hAnsi="Times New Roman"/>
          <w:sz w:val="24"/>
          <w:szCs w:val="24"/>
        </w:rPr>
        <w:t>: Factor de ponderación para el Subíndice i</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Así, el ICA obtenido representa un valor puntual, por lo que es característico de la calidad del agua del lugar y en el momento específico donde se tomaron las muestras. (Espinosa &amp; Rodríguez, 2016).</w:t>
      </w: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Sobre la base de estas afirmaciones, se tiene que el objetivo general de esta </w:t>
      </w:r>
      <w:proofErr w:type="gramStart"/>
      <w:r w:rsidRPr="00860394">
        <w:rPr>
          <w:rFonts w:ascii="Times New Roman" w:hAnsi="Times New Roman"/>
          <w:sz w:val="24"/>
          <w:szCs w:val="24"/>
        </w:rPr>
        <w:t>investigación  fue</w:t>
      </w:r>
      <w:proofErr w:type="gramEnd"/>
      <w:r w:rsidRPr="00860394">
        <w:rPr>
          <w:rFonts w:ascii="Times New Roman" w:hAnsi="Times New Roman"/>
          <w:sz w:val="24"/>
          <w:szCs w:val="24"/>
        </w:rPr>
        <w:t xml:space="preserve"> analizar la calidad del agua de la cuenca media del río Portoviejo, mediante el método ICA-NSF para el establecimiento de estrategias de prevención y control de esta problemática.</w:t>
      </w:r>
    </w:p>
    <w:p w:rsidR="00860394" w:rsidRPr="00860394" w:rsidRDefault="00860394" w:rsidP="00860394">
      <w:pPr>
        <w:spacing w:after="0" w:line="360" w:lineRule="auto"/>
        <w:jc w:val="both"/>
        <w:rPr>
          <w:rFonts w:ascii="Times New Roman" w:hAnsi="Times New Roman"/>
          <w:sz w:val="24"/>
          <w:szCs w:val="24"/>
        </w:rPr>
      </w:pPr>
    </w:p>
    <w:p w:rsidR="00860394" w:rsidRPr="00860394" w:rsidRDefault="00860394" w:rsidP="00860394">
      <w:pPr>
        <w:spacing w:after="0" w:line="360" w:lineRule="auto"/>
        <w:jc w:val="both"/>
        <w:rPr>
          <w:rFonts w:ascii="Times New Roman" w:hAnsi="Times New Roman"/>
          <w:b/>
          <w:sz w:val="26"/>
          <w:szCs w:val="26"/>
        </w:rPr>
      </w:pPr>
      <w:r w:rsidRPr="00860394">
        <w:rPr>
          <w:rFonts w:ascii="Times New Roman" w:hAnsi="Times New Roman"/>
          <w:b/>
          <w:sz w:val="26"/>
          <w:szCs w:val="26"/>
        </w:rPr>
        <w:t>Metodología</w:t>
      </w: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La presente investigación es de tipo experimental descriptiva, la cual se desarrolló con el objetivo de analizar la calidad del agua de la cuenca media del río Portoviejo. La cuenca del río Portoviejo está ubicada en la provincia de Manabí. Según (Giler, Donoso, &amp; Zaldumbide, 2020), está conformada por los cantones Portoviejo, Rocafuerte, Santa Ana y una parte del cantón 24 de Mayo, la cual consta de un área total de 2.105,07 km2. A continuación se evidencia la información de la morfología básica de la cuenca media del río Portoviejo</w:t>
      </w:r>
      <w:r>
        <w:rPr>
          <w:rFonts w:ascii="Times New Roman" w:hAnsi="Times New Roman"/>
          <w:sz w:val="24"/>
          <w:szCs w:val="24"/>
        </w:rPr>
        <w:t>.</w:t>
      </w:r>
    </w:p>
    <w:p w:rsidR="00860394" w:rsidRPr="00860394" w:rsidRDefault="00860394" w:rsidP="00860394">
      <w:pPr>
        <w:spacing w:after="0" w:line="360" w:lineRule="auto"/>
        <w:jc w:val="both"/>
        <w:rPr>
          <w:rFonts w:ascii="Times New Roman" w:hAnsi="Times New Roman"/>
          <w:sz w:val="24"/>
          <w:szCs w:val="24"/>
        </w:rPr>
      </w:pPr>
    </w:p>
    <w:p w:rsidR="00860394" w:rsidRPr="00860394" w:rsidRDefault="00860394" w:rsidP="00860394">
      <w:pPr>
        <w:spacing w:after="0" w:line="360" w:lineRule="auto"/>
        <w:jc w:val="center"/>
        <w:rPr>
          <w:rFonts w:ascii="Times New Roman" w:hAnsi="Times New Roman"/>
          <w:sz w:val="20"/>
          <w:szCs w:val="20"/>
        </w:rPr>
      </w:pPr>
      <w:r w:rsidRPr="00860394">
        <w:rPr>
          <w:rFonts w:ascii="Times New Roman" w:hAnsi="Times New Roman"/>
          <w:b/>
          <w:sz w:val="20"/>
          <w:szCs w:val="20"/>
        </w:rPr>
        <w:t>Tabla 2</w:t>
      </w:r>
      <w:r w:rsidRPr="00860394">
        <w:rPr>
          <w:rFonts w:ascii="Times New Roman" w:hAnsi="Times New Roman"/>
          <w:b/>
          <w:sz w:val="20"/>
          <w:szCs w:val="20"/>
        </w:rPr>
        <w:t>:</w:t>
      </w:r>
      <w:r w:rsidRPr="00860394">
        <w:rPr>
          <w:rFonts w:ascii="Times New Roman" w:hAnsi="Times New Roman"/>
          <w:sz w:val="20"/>
          <w:szCs w:val="20"/>
        </w:rPr>
        <w:t xml:space="preserve"> Principales datos morfológicos de la cuenca media del rio Portoviejo</w:t>
      </w:r>
    </w:p>
    <w:tbl>
      <w:tblPr>
        <w:tblStyle w:val="Tabladelista2-nfasis5"/>
        <w:tblW w:w="8730" w:type="dxa"/>
        <w:jc w:val="center"/>
        <w:tblLayout w:type="fixed"/>
        <w:tblLook w:val="04A0" w:firstRow="1" w:lastRow="0" w:firstColumn="1" w:lastColumn="0" w:noHBand="0" w:noVBand="1"/>
      </w:tblPr>
      <w:tblGrid>
        <w:gridCol w:w="4365"/>
        <w:gridCol w:w="4365"/>
      </w:tblGrid>
      <w:tr w:rsidR="00860394" w:rsidRPr="00860394" w:rsidTr="00526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5"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Descripción</w:t>
            </w:r>
          </w:p>
        </w:tc>
        <w:tc>
          <w:tcPr>
            <w:tcW w:w="4365" w:type="dxa"/>
          </w:tcPr>
          <w:p w:rsidR="00860394" w:rsidRPr="00860394" w:rsidRDefault="00860394" w:rsidP="0086039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Cantidad</w:t>
            </w:r>
          </w:p>
        </w:tc>
      </w:tr>
      <w:tr w:rsidR="00860394" w:rsidRPr="00860394" w:rsidTr="0052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5"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Área (km</w:t>
            </w:r>
            <w:r w:rsidRPr="00860394">
              <w:rPr>
                <w:rFonts w:ascii="Times New Roman" w:hAnsi="Times New Roman"/>
                <w:sz w:val="20"/>
                <w:szCs w:val="20"/>
                <w:vertAlign w:val="superscript"/>
              </w:rPr>
              <w:t>2</w:t>
            </w:r>
            <w:r w:rsidRPr="00860394">
              <w:rPr>
                <w:rFonts w:ascii="Times New Roman" w:hAnsi="Times New Roman"/>
                <w:sz w:val="20"/>
                <w:szCs w:val="20"/>
              </w:rPr>
              <w:t>)</w:t>
            </w:r>
          </w:p>
        </w:tc>
        <w:tc>
          <w:tcPr>
            <w:tcW w:w="4365"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2.105,07</w:t>
            </w:r>
          </w:p>
        </w:tc>
      </w:tr>
      <w:tr w:rsidR="00860394" w:rsidRPr="00860394" w:rsidTr="00526BDB">
        <w:trPr>
          <w:jc w:val="center"/>
        </w:trPr>
        <w:tc>
          <w:tcPr>
            <w:cnfStyle w:val="001000000000" w:firstRow="0" w:lastRow="0" w:firstColumn="1" w:lastColumn="0" w:oddVBand="0" w:evenVBand="0" w:oddHBand="0" w:evenHBand="0" w:firstRowFirstColumn="0" w:firstRowLastColumn="0" w:lastRowFirstColumn="0" w:lastRowLastColumn="0"/>
            <w:tcW w:w="4365"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Perímetro (km)</w:t>
            </w:r>
          </w:p>
        </w:tc>
        <w:tc>
          <w:tcPr>
            <w:tcW w:w="4365" w:type="dxa"/>
          </w:tcPr>
          <w:p w:rsidR="00860394" w:rsidRPr="00860394" w:rsidRDefault="00860394" w:rsidP="0086039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293,58</w:t>
            </w:r>
          </w:p>
        </w:tc>
      </w:tr>
      <w:tr w:rsidR="00860394" w:rsidRPr="00860394" w:rsidTr="0052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5"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Largo (km)</w:t>
            </w:r>
          </w:p>
        </w:tc>
        <w:tc>
          <w:tcPr>
            <w:tcW w:w="4365" w:type="dxa"/>
          </w:tcPr>
          <w:p w:rsidR="00860394" w:rsidRPr="00860394" w:rsidRDefault="00860394" w:rsidP="0086039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62,02</w:t>
            </w:r>
          </w:p>
        </w:tc>
      </w:tr>
      <w:tr w:rsidR="00860394" w:rsidRPr="00860394" w:rsidTr="00526BDB">
        <w:trPr>
          <w:jc w:val="center"/>
        </w:trPr>
        <w:tc>
          <w:tcPr>
            <w:cnfStyle w:val="001000000000" w:firstRow="0" w:lastRow="0" w:firstColumn="1" w:lastColumn="0" w:oddVBand="0" w:evenVBand="0" w:oddHBand="0" w:evenHBand="0" w:firstRowFirstColumn="0" w:firstRowLastColumn="0" w:lastRowFirstColumn="0" w:lastRowLastColumn="0"/>
            <w:tcW w:w="4365" w:type="dxa"/>
          </w:tcPr>
          <w:p w:rsidR="00860394" w:rsidRPr="00860394" w:rsidRDefault="00860394" w:rsidP="00860394">
            <w:pPr>
              <w:spacing w:after="0" w:line="276" w:lineRule="auto"/>
              <w:jc w:val="center"/>
              <w:rPr>
                <w:rFonts w:ascii="Times New Roman" w:hAnsi="Times New Roman"/>
                <w:sz w:val="20"/>
                <w:szCs w:val="20"/>
              </w:rPr>
            </w:pPr>
            <w:r w:rsidRPr="00860394">
              <w:rPr>
                <w:rFonts w:ascii="Times New Roman" w:hAnsi="Times New Roman"/>
                <w:sz w:val="20"/>
                <w:szCs w:val="20"/>
              </w:rPr>
              <w:t>Ancho (Km)</w:t>
            </w:r>
          </w:p>
        </w:tc>
        <w:tc>
          <w:tcPr>
            <w:tcW w:w="4365" w:type="dxa"/>
          </w:tcPr>
          <w:p w:rsidR="00860394" w:rsidRPr="00860394" w:rsidRDefault="00860394" w:rsidP="0086039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36,30</w:t>
            </w:r>
          </w:p>
        </w:tc>
      </w:tr>
    </w:tbl>
    <w:p w:rsidR="00860394" w:rsidRDefault="00860394" w:rsidP="00860394">
      <w:pPr>
        <w:spacing w:after="0" w:line="360" w:lineRule="auto"/>
        <w:jc w:val="center"/>
        <w:rPr>
          <w:rFonts w:ascii="Times New Roman" w:hAnsi="Times New Roman"/>
          <w:sz w:val="18"/>
          <w:szCs w:val="18"/>
        </w:rPr>
      </w:pPr>
      <w:r w:rsidRPr="00860394">
        <w:rPr>
          <w:rFonts w:ascii="Times New Roman" w:hAnsi="Times New Roman"/>
          <w:b/>
          <w:sz w:val="18"/>
          <w:szCs w:val="18"/>
        </w:rPr>
        <w:t>Fuente:</w:t>
      </w:r>
      <w:r w:rsidRPr="00860394">
        <w:rPr>
          <w:rFonts w:ascii="Times New Roman" w:hAnsi="Times New Roman"/>
          <w:sz w:val="18"/>
          <w:szCs w:val="18"/>
        </w:rPr>
        <w:t xml:space="preserve"> (Giler, Donoso, &amp; Zaldumbide, 2020).</w:t>
      </w:r>
    </w:p>
    <w:p w:rsidR="00860394" w:rsidRPr="00860394" w:rsidRDefault="00860394" w:rsidP="00860394">
      <w:pPr>
        <w:spacing w:after="0" w:line="360" w:lineRule="auto"/>
        <w:jc w:val="center"/>
        <w:rPr>
          <w:rFonts w:ascii="Times New Roman" w:hAnsi="Times New Roman"/>
          <w:szCs w:val="18"/>
        </w:rPr>
      </w:pP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El principal uso del suelo de la cuenca del rio Portoviejo, es agropecuario, con 105642.00 hectáreas (ha) que corresponden a cultivos, es decir el 50,56% del área total. Los pastos ocupan 63340.00 ha y corresponden al 30.31% y 36878 ha de bosques representan el 17.65%. Zonas cubiertas de agua son 714 ha que representan el 0.34 %; las áreas urbanas son 1319.00 ha, representando un 0,63%, y 1067.00 ha corresponden a otros tipos de utilización y representan el 0.51%. (Montilla &amp; Pacheco, 2017)</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Para la selección del lugar o los puntos para la toma de muestras, se realizó un recorrido a toda la cuenca del rio Portoviejo, y se escogió de manera visual bajo parámetros o indicadores tanto bióticos (tipos de plantas, árboles y musgos a la orilla del rio, especies contaminadas de animales que habitan en el ecosistema, restos en descomposición) y abióticos (tipos de suelo que poseen los taludes del río, desechos de químicos industriales y aguas residuales vertidas de manera directa). La imagen satelital da cuenta de las ubicaciones de los tres puntos en los cuales se realizó el muestreo y análisis de los parámetros establecidos por el ICA-NSF.</w:t>
      </w:r>
    </w:p>
    <w:p w:rsidR="00860394" w:rsidRPr="00860394" w:rsidRDefault="00860394" w:rsidP="00860394">
      <w:pPr>
        <w:spacing w:after="0" w:line="360" w:lineRule="auto"/>
        <w:jc w:val="both"/>
        <w:rPr>
          <w:rFonts w:ascii="Times New Roman" w:hAnsi="Times New Roman"/>
          <w:sz w:val="20"/>
          <w:szCs w:val="24"/>
        </w:rPr>
      </w:pPr>
      <w:r w:rsidRPr="00860394">
        <w:rPr>
          <w:rFonts w:ascii="Times New Roman" w:hAnsi="Times New Roman"/>
          <w:sz w:val="24"/>
          <w:szCs w:val="24"/>
        </w:rPr>
        <w:t xml:space="preserve"> </w:t>
      </w:r>
    </w:p>
    <w:p w:rsidR="00860394" w:rsidRPr="00860394" w:rsidRDefault="00526BDB" w:rsidP="00860394">
      <w:pPr>
        <w:spacing w:after="0" w:line="360" w:lineRule="auto"/>
        <w:jc w:val="center"/>
        <w:rPr>
          <w:rFonts w:ascii="Times New Roman" w:hAnsi="Times New Roman"/>
          <w:sz w:val="20"/>
          <w:szCs w:val="24"/>
        </w:rPr>
      </w:pPr>
      <w:r>
        <w:rPr>
          <w:noProof/>
          <w:lang w:eastAsia="es-EC"/>
        </w:rPr>
        <w:drawing>
          <wp:anchor distT="0" distB="0" distL="114300" distR="114300" simplePos="0" relativeHeight="251659776" behindDoc="0" locked="0" layoutInCell="1" allowOverlap="1">
            <wp:simplePos x="0" y="0"/>
            <wp:positionH relativeFrom="column">
              <wp:posOffset>1256665</wp:posOffset>
            </wp:positionH>
            <wp:positionV relativeFrom="paragraph">
              <wp:posOffset>158115</wp:posOffset>
            </wp:positionV>
            <wp:extent cx="3695700" cy="1724025"/>
            <wp:effectExtent l="0" t="0" r="0" b="9525"/>
            <wp:wrapTopAndBottom/>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extLst>
                        <a:ext uri="{28A0092B-C50C-407E-A947-70E740481C1C}">
                          <a14:useLocalDpi xmlns:a14="http://schemas.microsoft.com/office/drawing/2010/main" val="0"/>
                        </a:ext>
                      </a:extLst>
                    </a:blip>
                    <a:srcRect l="30914" t="39577" r="26960" b="17522"/>
                    <a:stretch>
                      <a:fillRect/>
                    </a:stretch>
                  </pic:blipFill>
                  <pic:spPr>
                    <a:xfrm>
                      <a:off x="0" y="0"/>
                      <a:ext cx="3695700" cy="1724025"/>
                    </a:xfrm>
                    <a:prstGeom prst="rect">
                      <a:avLst/>
                    </a:prstGeom>
                    <a:ln/>
                  </pic:spPr>
                </pic:pic>
              </a:graphicData>
            </a:graphic>
            <wp14:sizeRelH relativeFrom="margin">
              <wp14:pctWidth>0</wp14:pctWidth>
            </wp14:sizeRelH>
            <wp14:sizeRelV relativeFrom="margin">
              <wp14:pctHeight>0</wp14:pctHeight>
            </wp14:sizeRelV>
          </wp:anchor>
        </w:drawing>
      </w:r>
      <w:r w:rsidR="00860394" w:rsidRPr="00860394">
        <w:rPr>
          <w:rFonts w:ascii="Times New Roman" w:hAnsi="Times New Roman"/>
          <w:b/>
          <w:sz w:val="20"/>
          <w:szCs w:val="24"/>
        </w:rPr>
        <w:t>Ilustración 1:</w:t>
      </w:r>
      <w:r w:rsidR="00860394" w:rsidRPr="00860394">
        <w:rPr>
          <w:rFonts w:ascii="Times New Roman" w:hAnsi="Times New Roman"/>
          <w:sz w:val="20"/>
          <w:szCs w:val="24"/>
        </w:rPr>
        <w:t xml:space="preserve"> Imagen Satelital de ubicación de los tres puntos de muestreo</w:t>
      </w:r>
    </w:p>
    <w:p w:rsidR="00860394" w:rsidRPr="00860394" w:rsidRDefault="00860394" w:rsidP="00860394">
      <w:pPr>
        <w:spacing w:after="0" w:line="360" w:lineRule="auto"/>
        <w:jc w:val="both"/>
        <w:rPr>
          <w:rFonts w:ascii="Times New Roman" w:hAnsi="Times New Roman"/>
          <w:szCs w:val="24"/>
        </w:rPr>
      </w:pP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De esta forma las coordenadas de </w:t>
      </w:r>
      <w:proofErr w:type="gramStart"/>
      <w:r w:rsidRPr="00860394">
        <w:rPr>
          <w:rFonts w:ascii="Times New Roman" w:hAnsi="Times New Roman"/>
          <w:sz w:val="24"/>
          <w:szCs w:val="24"/>
        </w:rPr>
        <w:t>la  zona</w:t>
      </w:r>
      <w:proofErr w:type="gramEnd"/>
      <w:r w:rsidRPr="00860394">
        <w:rPr>
          <w:rFonts w:ascii="Times New Roman" w:hAnsi="Times New Roman"/>
          <w:sz w:val="24"/>
          <w:szCs w:val="24"/>
        </w:rPr>
        <w:t xml:space="preserve"> de muestreo, se exponen a continuación </w:t>
      </w:r>
    </w:p>
    <w:p w:rsidR="00860394" w:rsidRPr="00860394" w:rsidRDefault="00860394" w:rsidP="00860394">
      <w:pPr>
        <w:spacing w:after="0" w:line="360" w:lineRule="auto"/>
        <w:jc w:val="both"/>
        <w:rPr>
          <w:rFonts w:ascii="Times New Roman" w:hAnsi="Times New Roman"/>
          <w:szCs w:val="24"/>
        </w:rPr>
      </w:pPr>
    </w:p>
    <w:p w:rsidR="00860394" w:rsidRPr="00860394" w:rsidRDefault="00860394" w:rsidP="00860394">
      <w:pPr>
        <w:spacing w:after="0" w:line="276" w:lineRule="auto"/>
        <w:jc w:val="center"/>
        <w:rPr>
          <w:rFonts w:ascii="Times New Roman" w:hAnsi="Times New Roman"/>
          <w:sz w:val="20"/>
          <w:szCs w:val="24"/>
        </w:rPr>
      </w:pPr>
      <w:r w:rsidRPr="00860394">
        <w:rPr>
          <w:rFonts w:ascii="Times New Roman" w:hAnsi="Times New Roman"/>
          <w:b/>
          <w:sz w:val="20"/>
          <w:szCs w:val="24"/>
        </w:rPr>
        <w:t>Tabla 3:</w:t>
      </w:r>
      <w:r w:rsidRPr="00860394">
        <w:rPr>
          <w:rFonts w:ascii="Times New Roman" w:hAnsi="Times New Roman"/>
          <w:sz w:val="20"/>
          <w:szCs w:val="24"/>
        </w:rPr>
        <w:t xml:space="preserve"> Georreferenciación de los tres puntos en la zona de muestreo</w:t>
      </w:r>
    </w:p>
    <w:tbl>
      <w:tblPr>
        <w:tblStyle w:val="Tabladelista2-nfasis5"/>
        <w:tblW w:w="9024" w:type="dxa"/>
        <w:jc w:val="center"/>
        <w:tblLayout w:type="fixed"/>
        <w:tblLook w:val="04A0" w:firstRow="1" w:lastRow="0" w:firstColumn="1" w:lastColumn="0" w:noHBand="0" w:noVBand="1"/>
      </w:tblPr>
      <w:tblGrid>
        <w:gridCol w:w="802"/>
        <w:gridCol w:w="3260"/>
        <w:gridCol w:w="1985"/>
        <w:gridCol w:w="2977"/>
      </w:tblGrid>
      <w:tr w:rsidR="00860394" w:rsidRPr="00860394" w:rsidTr="00526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2" w:type="dxa"/>
          </w:tcPr>
          <w:p w:rsidR="00860394" w:rsidRPr="00860394" w:rsidRDefault="00860394" w:rsidP="00860394">
            <w:pPr>
              <w:spacing w:after="0" w:line="276" w:lineRule="auto"/>
              <w:rPr>
                <w:rFonts w:ascii="Times New Roman" w:hAnsi="Times New Roman"/>
                <w:sz w:val="20"/>
                <w:szCs w:val="20"/>
              </w:rPr>
            </w:pPr>
            <w:r w:rsidRPr="00860394">
              <w:rPr>
                <w:rFonts w:ascii="Times New Roman" w:hAnsi="Times New Roman"/>
                <w:sz w:val="20"/>
                <w:szCs w:val="20"/>
              </w:rPr>
              <w:t>Punto</w:t>
            </w:r>
          </w:p>
        </w:tc>
        <w:tc>
          <w:tcPr>
            <w:tcW w:w="3260" w:type="dxa"/>
          </w:tcPr>
          <w:p w:rsidR="00860394" w:rsidRPr="00860394" w:rsidRDefault="00860394" w:rsidP="00860394">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Ubicación</w:t>
            </w:r>
          </w:p>
        </w:tc>
        <w:tc>
          <w:tcPr>
            <w:tcW w:w="1985" w:type="dxa"/>
          </w:tcPr>
          <w:p w:rsidR="00860394" w:rsidRPr="00860394" w:rsidRDefault="00860394" w:rsidP="00860394">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Coordenadas (UTM)</w:t>
            </w:r>
          </w:p>
        </w:tc>
        <w:tc>
          <w:tcPr>
            <w:tcW w:w="2977" w:type="dxa"/>
          </w:tcPr>
          <w:p w:rsidR="00860394" w:rsidRPr="00860394" w:rsidRDefault="00860394" w:rsidP="00860394">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Observación</w:t>
            </w:r>
          </w:p>
        </w:tc>
      </w:tr>
      <w:tr w:rsidR="00860394" w:rsidRPr="00860394" w:rsidTr="0052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2" w:type="dxa"/>
          </w:tcPr>
          <w:p w:rsidR="00860394" w:rsidRPr="00860394" w:rsidRDefault="00860394" w:rsidP="00860394">
            <w:pPr>
              <w:spacing w:after="0" w:line="276" w:lineRule="auto"/>
              <w:rPr>
                <w:rFonts w:ascii="Times New Roman" w:hAnsi="Times New Roman"/>
                <w:sz w:val="20"/>
                <w:szCs w:val="20"/>
              </w:rPr>
            </w:pPr>
            <w:r w:rsidRPr="00860394">
              <w:rPr>
                <w:rFonts w:ascii="Times New Roman" w:hAnsi="Times New Roman"/>
                <w:sz w:val="20"/>
                <w:szCs w:val="20"/>
              </w:rPr>
              <w:t>1</w:t>
            </w:r>
          </w:p>
        </w:tc>
        <w:tc>
          <w:tcPr>
            <w:tcW w:w="3260" w:type="dxa"/>
          </w:tcPr>
          <w:p w:rsidR="00860394" w:rsidRPr="00860394" w:rsidRDefault="00860394" w:rsidP="0086039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Puente San Ignacio (parroquia Colón)</w:t>
            </w:r>
          </w:p>
        </w:tc>
        <w:tc>
          <w:tcPr>
            <w:tcW w:w="1985" w:type="dxa"/>
          </w:tcPr>
          <w:p w:rsidR="00860394" w:rsidRPr="00860394" w:rsidRDefault="00860394" w:rsidP="0086039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565644</w:t>
            </w:r>
            <w:r w:rsidRPr="00860394">
              <w:rPr>
                <w:rFonts w:ascii="Times New Roman" w:hAnsi="Times New Roman"/>
                <w:sz w:val="20"/>
                <w:szCs w:val="20"/>
              </w:rPr>
              <w:br/>
              <w:t>9877503</w:t>
            </w:r>
          </w:p>
        </w:tc>
        <w:tc>
          <w:tcPr>
            <w:tcW w:w="2977" w:type="dxa"/>
          </w:tcPr>
          <w:p w:rsidR="00860394" w:rsidRPr="00860394" w:rsidRDefault="00860394" w:rsidP="0086039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La toma de muestra se  realizó en el mes de septiembre del 2020</w:t>
            </w:r>
          </w:p>
        </w:tc>
      </w:tr>
      <w:tr w:rsidR="00860394" w:rsidRPr="00860394" w:rsidTr="00526BDB">
        <w:trPr>
          <w:jc w:val="center"/>
        </w:trPr>
        <w:tc>
          <w:tcPr>
            <w:cnfStyle w:val="001000000000" w:firstRow="0" w:lastRow="0" w:firstColumn="1" w:lastColumn="0" w:oddVBand="0" w:evenVBand="0" w:oddHBand="0" w:evenHBand="0" w:firstRowFirstColumn="0" w:firstRowLastColumn="0" w:lastRowFirstColumn="0" w:lastRowLastColumn="0"/>
            <w:tcW w:w="802" w:type="dxa"/>
          </w:tcPr>
          <w:p w:rsidR="00860394" w:rsidRPr="00860394" w:rsidRDefault="00860394" w:rsidP="00860394">
            <w:pPr>
              <w:spacing w:after="0" w:line="276" w:lineRule="auto"/>
              <w:rPr>
                <w:rFonts w:ascii="Times New Roman" w:hAnsi="Times New Roman"/>
                <w:sz w:val="20"/>
                <w:szCs w:val="20"/>
              </w:rPr>
            </w:pPr>
            <w:r w:rsidRPr="00860394">
              <w:rPr>
                <w:rFonts w:ascii="Times New Roman" w:hAnsi="Times New Roman"/>
                <w:sz w:val="20"/>
                <w:szCs w:val="20"/>
              </w:rPr>
              <w:t>2</w:t>
            </w:r>
          </w:p>
        </w:tc>
        <w:tc>
          <w:tcPr>
            <w:tcW w:w="3260" w:type="dxa"/>
          </w:tcPr>
          <w:p w:rsidR="00860394" w:rsidRPr="00860394" w:rsidRDefault="00860394" w:rsidP="0086039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Puente Puerto Real</w:t>
            </w:r>
          </w:p>
        </w:tc>
        <w:tc>
          <w:tcPr>
            <w:tcW w:w="1985" w:type="dxa"/>
          </w:tcPr>
          <w:p w:rsidR="00860394" w:rsidRPr="00860394" w:rsidRDefault="00860394" w:rsidP="0086039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561202</w:t>
            </w:r>
            <w:r w:rsidRPr="00860394">
              <w:rPr>
                <w:rFonts w:ascii="Times New Roman" w:hAnsi="Times New Roman"/>
                <w:sz w:val="20"/>
                <w:szCs w:val="20"/>
              </w:rPr>
              <w:br/>
              <w:t>9882424</w:t>
            </w:r>
          </w:p>
        </w:tc>
        <w:tc>
          <w:tcPr>
            <w:tcW w:w="2977" w:type="dxa"/>
          </w:tcPr>
          <w:p w:rsidR="00860394" w:rsidRPr="00860394" w:rsidRDefault="00860394" w:rsidP="0086039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La toma de muestra se  realizó en el mes de septiembre del 2020</w:t>
            </w:r>
          </w:p>
        </w:tc>
      </w:tr>
      <w:tr w:rsidR="00860394" w:rsidRPr="00860394" w:rsidTr="0052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2" w:type="dxa"/>
          </w:tcPr>
          <w:p w:rsidR="00860394" w:rsidRPr="00860394" w:rsidRDefault="00860394" w:rsidP="00860394">
            <w:pPr>
              <w:spacing w:after="0" w:line="276" w:lineRule="auto"/>
              <w:rPr>
                <w:rFonts w:ascii="Times New Roman" w:hAnsi="Times New Roman"/>
                <w:sz w:val="20"/>
                <w:szCs w:val="20"/>
              </w:rPr>
            </w:pPr>
            <w:r w:rsidRPr="00860394">
              <w:rPr>
                <w:rFonts w:ascii="Times New Roman" w:hAnsi="Times New Roman"/>
                <w:sz w:val="20"/>
                <w:szCs w:val="20"/>
              </w:rPr>
              <w:t>3</w:t>
            </w:r>
          </w:p>
        </w:tc>
        <w:tc>
          <w:tcPr>
            <w:tcW w:w="3260" w:type="dxa"/>
          </w:tcPr>
          <w:p w:rsidR="00860394" w:rsidRPr="00860394" w:rsidRDefault="00860394" w:rsidP="0086039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Puente Mejía</w:t>
            </w:r>
          </w:p>
        </w:tc>
        <w:tc>
          <w:tcPr>
            <w:tcW w:w="1985" w:type="dxa"/>
          </w:tcPr>
          <w:p w:rsidR="00860394" w:rsidRPr="00860394" w:rsidRDefault="00860394" w:rsidP="0086039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5888995</w:t>
            </w:r>
            <w:r w:rsidRPr="00860394">
              <w:rPr>
                <w:rFonts w:ascii="Times New Roman" w:hAnsi="Times New Roman"/>
                <w:sz w:val="20"/>
                <w:szCs w:val="20"/>
              </w:rPr>
              <w:br/>
              <w:t>9890571</w:t>
            </w:r>
          </w:p>
        </w:tc>
        <w:tc>
          <w:tcPr>
            <w:tcW w:w="2977" w:type="dxa"/>
          </w:tcPr>
          <w:p w:rsidR="00860394" w:rsidRPr="00860394" w:rsidRDefault="00860394" w:rsidP="0086039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0394">
              <w:rPr>
                <w:rFonts w:ascii="Times New Roman" w:hAnsi="Times New Roman"/>
                <w:sz w:val="20"/>
                <w:szCs w:val="20"/>
              </w:rPr>
              <w:t>La toma de muestra se realizó en el mes de septiembre del 2020</w:t>
            </w:r>
          </w:p>
        </w:tc>
      </w:tr>
    </w:tbl>
    <w:p w:rsidR="00860394" w:rsidRPr="00860394" w:rsidRDefault="00860394" w:rsidP="00860394">
      <w:pPr>
        <w:spacing w:after="0" w:line="276" w:lineRule="auto"/>
        <w:jc w:val="center"/>
        <w:rPr>
          <w:rFonts w:ascii="Times New Roman" w:hAnsi="Times New Roman"/>
          <w:sz w:val="18"/>
          <w:szCs w:val="24"/>
        </w:rPr>
      </w:pPr>
      <w:r w:rsidRPr="00860394">
        <w:rPr>
          <w:rFonts w:ascii="Times New Roman" w:hAnsi="Times New Roman"/>
          <w:b/>
          <w:sz w:val="18"/>
          <w:szCs w:val="24"/>
        </w:rPr>
        <w:t>Fuente:</w:t>
      </w:r>
      <w:r w:rsidRPr="00860394">
        <w:rPr>
          <w:rFonts w:ascii="Times New Roman" w:hAnsi="Times New Roman"/>
          <w:sz w:val="18"/>
          <w:szCs w:val="24"/>
        </w:rPr>
        <w:t xml:space="preserve"> Elaboración propia.</w:t>
      </w:r>
    </w:p>
    <w:p w:rsidR="00860394" w:rsidRPr="00860394" w:rsidRDefault="00860394" w:rsidP="00860394">
      <w:pPr>
        <w:spacing w:after="0" w:line="360" w:lineRule="auto"/>
        <w:jc w:val="both"/>
        <w:rPr>
          <w:rFonts w:ascii="Times New Roman" w:hAnsi="Times New Roman"/>
          <w:szCs w:val="24"/>
        </w:rPr>
      </w:pPr>
    </w:p>
    <w:p w:rsidR="00860394" w:rsidRPr="00526BDB" w:rsidRDefault="00860394" w:rsidP="00860394">
      <w:pPr>
        <w:spacing w:after="0" w:line="360" w:lineRule="auto"/>
        <w:jc w:val="both"/>
        <w:rPr>
          <w:rFonts w:ascii="Times New Roman" w:hAnsi="Times New Roman"/>
          <w:b/>
          <w:sz w:val="26"/>
          <w:szCs w:val="26"/>
        </w:rPr>
      </w:pPr>
      <w:r w:rsidRPr="00526BDB">
        <w:rPr>
          <w:rFonts w:ascii="Times New Roman" w:hAnsi="Times New Roman"/>
          <w:b/>
          <w:sz w:val="26"/>
          <w:szCs w:val="26"/>
        </w:rPr>
        <w:t>Materiales y equipos</w:t>
      </w: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En el desarrollo de las actividades de la toma de muestra in situ y la realización de los ensayos de laboratorio, se necesitó del uso de los siguientes equipos y materiales para la medición de los parámetros de análisis.</w:t>
      </w:r>
    </w:p>
    <w:p w:rsidR="00526BDB" w:rsidRPr="00860394" w:rsidRDefault="00526BDB" w:rsidP="00860394">
      <w:pPr>
        <w:spacing w:after="0" w:line="360" w:lineRule="auto"/>
        <w:jc w:val="both"/>
        <w:rPr>
          <w:rFonts w:ascii="Times New Roman" w:hAnsi="Times New Roman"/>
          <w:sz w:val="24"/>
          <w:szCs w:val="24"/>
        </w:rPr>
      </w:pPr>
    </w:p>
    <w:p w:rsidR="00860394" w:rsidRPr="00526BDB" w:rsidRDefault="00526BDB" w:rsidP="00526BDB">
      <w:pPr>
        <w:spacing w:after="0" w:line="276" w:lineRule="auto"/>
        <w:jc w:val="center"/>
        <w:rPr>
          <w:rFonts w:ascii="Times New Roman" w:hAnsi="Times New Roman"/>
          <w:sz w:val="20"/>
          <w:szCs w:val="24"/>
        </w:rPr>
      </w:pPr>
      <w:r w:rsidRPr="00526BDB">
        <w:rPr>
          <w:rFonts w:ascii="Times New Roman" w:hAnsi="Times New Roman"/>
          <w:b/>
          <w:sz w:val="20"/>
          <w:szCs w:val="24"/>
        </w:rPr>
        <w:t>Tabla 4:</w:t>
      </w:r>
      <w:r w:rsidR="00860394" w:rsidRPr="00526BDB">
        <w:rPr>
          <w:rFonts w:ascii="Times New Roman" w:hAnsi="Times New Roman"/>
          <w:sz w:val="20"/>
          <w:szCs w:val="24"/>
        </w:rPr>
        <w:t xml:space="preserve"> Equipos utilizados</w:t>
      </w:r>
    </w:p>
    <w:tbl>
      <w:tblPr>
        <w:tblStyle w:val="Tabladelista2-nfasis5"/>
        <w:tblW w:w="10261" w:type="dxa"/>
        <w:tblLayout w:type="fixed"/>
        <w:tblLook w:val="04A0" w:firstRow="1" w:lastRow="0" w:firstColumn="1" w:lastColumn="0" w:noHBand="0" w:noVBand="1"/>
      </w:tblPr>
      <w:tblGrid>
        <w:gridCol w:w="336"/>
        <w:gridCol w:w="2641"/>
        <w:gridCol w:w="1349"/>
        <w:gridCol w:w="2675"/>
        <w:gridCol w:w="3260"/>
      </w:tblGrid>
      <w:tr w:rsidR="00526BDB" w:rsidRPr="00526BDB" w:rsidTr="0052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w:t>
            </w:r>
          </w:p>
        </w:tc>
        <w:tc>
          <w:tcPr>
            <w:tcW w:w="2641" w:type="dxa"/>
          </w:tcPr>
          <w:p w:rsidR="00526BDB" w:rsidRPr="00526BDB" w:rsidRDefault="00526BDB" w:rsidP="00526BD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Parámetro</w:t>
            </w:r>
          </w:p>
        </w:tc>
        <w:tc>
          <w:tcPr>
            <w:tcW w:w="1349" w:type="dxa"/>
          </w:tcPr>
          <w:p w:rsidR="00526BDB" w:rsidRPr="00526BDB" w:rsidRDefault="00526BDB" w:rsidP="00526BD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Sitio</w:t>
            </w:r>
          </w:p>
        </w:tc>
        <w:tc>
          <w:tcPr>
            <w:tcW w:w="2675" w:type="dxa"/>
          </w:tcPr>
          <w:p w:rsidR="00526BDB" w:rsidRPr="00526BDB" w:rsidRDefault="00526BDB" w:rsidP="00526BD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Equipo</w:t>
            </w:r>
          </w:p>
        </w:tc>
        <w:tc>
          <w:tcPr>
            <w:tcW w:w="3260" w:type="dxa"/>
          </w:tcPr>
          <w:p w:rsidR="00526BDB" w:rsidRPr="00526BDB" w:rsidRDefault="00526BDB" w:rsidP="00526BD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Método de referencia APHA</w:t>
            </w:r>
          </w:p>
        </w:tc>
      </w:tr>
      <w:tr w:rsidR="00526BDB" w:rsidRPr="00526BDB" w:rsidTr="0052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1</w:t>
            </w:r>
          </w:p>
        </w:tc>
        <w:tc>
          <w:tcPr>
            <w:tcW w:w="2641"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OD</w:t>
            </w:r>
          </w:p>
        </w:tc>
        <w:tc>
          <w:tcPr>
            <w:tcW w:w="1349"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In situ</w:t>
            </w:r>
          </w:p>
        </w:tc>
        <w:tc>
          <w:tcPr>
            <w:tcW w:w="2675"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526BDB">
              <w:rPr>
                <w:rFonts w:ascii="Times New Roman" w:hAnsi="Times New Roman"/>
                <w:sz w:val="20"/>
                <w:szCs w:val="20"/>
              </w:rPr>
              <w:t>Multiparámetro</w:t>
            </w:r>
            <w:proofErr w:type="spellEnd"/>
            <w:r w:rsidRPr="00526BDB">
              <w:rPr>
                <w:rFonts w:ascii="Times New Roman" w:hAnsi="Times New Roman"/>
                <w:sz w:val="20"/>
                <w:szCs w:val="20"/>
              </w:rPr>
              <w:t xml:space="preserve"> con 2 sondas marca HACH</w:t>
            </w:r>
          </w:p>
        </w:tc>
        <w:tc>
          <w:tcPr>
            <w:tcW w:w="3260"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4500-OG.</w:t>
            </w:r>
          </w:p>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526BDB" w:rsidRPr="00526BDB" w:rsidTr="00526BDB">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2</w:t>
            </w:r>
          </w:p>
        </w:tc>
        <w:tc>
          <w:tcPr>
            <w:tcW w:w="2641"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526BDB">
              <w:rPr>
                <w:rFonts w:ascii="Times New Roman" w:hAnsi="Times New Roman"/>
                <w:sz w:val="20"/>
                <w:szCs w:val="20"/>
              </w:rPr>
              <w:t>Coliformes</w:t>
            </w:r>
            <w:proofErr w:type="spellEnd"/>
            <w:r w:rsidRPr="00526BDB">
              <w:rPr>
                <w:rFonts w:ascii="Times New Roman" w:hAnsi="Times New Roman"/>
                <w:sz w:val="20"/>
                <w:szCs w:val="20"/>
              </w:rPr>
              <w:t xml:space="preserve"> fecales(CF)</w:t>
            </w:r>
          </w:p>
        </w:tc>
        <w:tc>
          <w:tcPr>
            <w:tcW w:w="1349"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Laboratorio</w:t>
            </w:r>
          </w:p>
        </w:tc>
        <w:tc>
          <w:tcPr>
            <w:tcW w:w="2675"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Incubadora,</w:t>
            </w:r>
          </w:p>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Cabina de flujo laminar,</w:t>
            </w:r>
          </w:p>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Mechero BUNSEN</w:t>
            </w:r>
          </w:p>
        </w:tc>
        <w:tc>
          <w:tcPr>
            <w:tcW w:w="3260"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9221 F</w:t>
            </w:r>
          </w:p>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526BDB" w:rsidRPr="00526BDB" w:rsidTr="0052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3</w:t>
            </w:r>
          </w:p>
        </w:tc>
        <w:tc>
          <w:tcPr>
            <w:tcW w:w="2641"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pH</w:t>
            </w:r>
          </w:p>
        </w:tc>
        <w:tc>
          <w:tcPr>
            <w:tcW w:w="1349"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In situ</w:t>
            </w:r>
          </w:p>
        </w:tc>
        <w:tc>
          <w:tcPr>
            <w:tcW w:w="2675"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pH metro marca HACH SENSON Ion1</w:t>
            </w:r>
          </w:p>
        </w:tc>
        <w:tc>
          <w:tcPr>
            <w:tcW w:w="3260"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4500-HB</w:t>
            </w:r>
          </w:p>
        </w:tc>
      </w:tr>
      <w:tr w:rsidR="00526BDB" w:rsidRPr="00526BDB" w:rsidTr="00526BDB">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4</w:t>
            </w:r>
          </w:p>
        </w:tc>
        <w:tc>
          <w:tcPr>
            <w:tcW w:w="2641"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Demanda Bioquímica de Oxígeno (DBO5)</w:t>
            </w:r>
          </w:p>
        </w:tc>
        <w:tc>
          <w:tcPr>
            <w:tcW w:w="1349"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Laboratorio</w:t>
            </w:r>
          </w:p>
        </w:tc>
        <w:tc>
          <w:tcPr>
            <w:tcW w:w="2675"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Incubadora marca HACH</w:t>
            </w:r>
          </w:p>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Espirómetro marca HACH</w:t>
            </w:r>
          </w:p>
        </w:tc>
        <w:tc>
          <w:tcPr>
            <w:tcW w:w="3260"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5210 D</w:t>
            </w:r>
          </w:p>
        </w:tc>
      </w:tr>
      <w:tr w:rsidR="00526BDB" w:rsidRPr="00526BDB" w:rsidTr="0052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5</w:t>
            </w:r>
          </w:p>
        </w:tc>
        <w:tc>
          <w:tcPr>
            <w:tcW w:w="2641"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Fosfatos (</w:t>
            </w:r>
            <m:oMath>
              <m:sSub>
                <m:sSubPr>
                  <m:ctrlPr>
                    <w:rPr>
                      <w:rFonts w:ascii="Cambria Math" w:eastAsia="Cambria Math" w:hAnsi="Cambria Math"/>
                      <w:sz w:val="20"/>
                      <w:szCs w:val="20"/>
                    </w:rPr>
                  </m:ctrlPr>
                </m:sSubPr>
                <m:e>
                  <m:r>
                    <w:rPr>
                      <w:rFonts w:ascii="Cambria Math" w:eastAsia="Cambria Math" w:hAnsi="Cambria Math"/>
                      <w:sz w:val="20"/>
                      <w:szCs w:val="20"/>
                    </w:rPr>
                    <m:t>PO</m:t>
                  </m:r>
                </m:e>
                <m:sub>
                  <m:r>
                    <w:rPr>
                      <w:rFonts w:ascii="Cambria Math" w:eastAsia="Cambria Math" w:hAnsi="Cambria Math"/>
                      <w:sz w:val="20"/>
                      <w:szCs w:val="20"/>
                    </w:rPr>
                    <m:t>4</m:t>
                  </m:r>
                </m:sub>
              </m:sSub>
              <m:r>
                <w:rPr>
                  <w:rFonts w:ascii="Cambria Math" w:eastAsia="Cambria Math" w:hAnsi="Cambria Math"/>
                  <w:sz w:val="20"/>
                  <w:szCs w:val="20"/>
                </w:rPr>
                <m:t>)</m:t>
              </m:r>
            </m:oMath>
          </w:p>
        </w:tc>
        <w:tc>
          <w:tcPr>
            <w:tcW w:w="1349"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Laboratorio</w:t>
            </w:r>
          </w:p>
        </w:tc>
        <w:tc>
          <w:tcPr>
            <w:tcW w:w="2675"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Espectrofotómetro</w:t>
            </w:r>
          </w:p>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Kit de reactivos para fosfatos</w:t>
            </w:r>
          </w:p>
        </w:tc>
        <w:tc>
          <w:tcPr>
            <w:tcW w:w="3260"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4500-PE</w:t>
            </w:r>
          </w:p>
        </w:tc>
      </w:tr>
      <w:tr w:rsidR="00526BDB" w:rsidRPr="00526BDB" w:rsidTr="00526BDB">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6</w:t>
            </w:r>
          </w:p>
        </w:tc>
        <w:tc>
          <w:tcPr>
            <w:tcW w:w="2641"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Nitratos (</w:t>
            </w:r>
            <m:oMath>
              <m:sSub>
                <m:sSubPr>
                  <m:ctrlPr>
                    <w:rPr>
                      <w:rFonts w:ascii="Cambria Math" w:eastAsia="Cambria Math" w:hAnsi="Cambria Math"/>
                      <w:sz w:val="20"/>
                      <w:szCs w:val="20"/>
                    </w:rPr>
                  </m:ctrlPr>
                </m:sSubPr>
                <m:e>
                  <m:r>
                    <w:rPr>
                      <w:rFonts w:ascii="Cambria Math" w:eastAsia="Cambria Math" w:hAnsi="Cambria Math"/>
                      <w:sz w:val="20"/>
                      <w:szCs w:val="20"/>
                    </w:rPr>
                    <m:t>N-NO</m:t>
                  </m:r>
                </m:e>
                <m:sub>
                  <m:r>
                    <w:rPr>
                      <w:rFonts w:ascii="Cambria Math" w:eastAsia="Cambria Math" w:hAnsi="Cambria Math"/>
                      <w:sz w:val="20"/>
                      <w:szCs w:val="20"/>
                    </w:rPr>
                    <m:t>3</m:t>
                  </m:r>
                </m:sub>
              </m:sSub>
            </m:oMath>
            <w:r w:rsidRPr="00526BDB">
              <w:rPr>
                <w:rFonts w:ascii="Times New Roman" w:hAnsi="Times New Roman"/>
                <w:sz w:val="20"/>
                <w:szCs w:val="20"/>
              </w:rPr>
              <w:t xml:space="preserve"> )</w:t>
            </w:r>
          </w:p>
        </w:tc>
        <w:tc>
          <w:tcPr>
            <w:tcW w:w="1349"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Laboratorio</w:t>
            </w:r>
          </w:p>
        </w:tc>
        <w:tc>
          <w:tcPr>
            <w:tcW w:w="2675"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Espectrofotómetro</w:t>
            </w:r>
          </w:p>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Kit de reactivos para nitratos</w:t>
            </w:r>
          </w:p>
        </w:tc>
        <w:tc>
          <w:tcPr>
            <w:tcW w:w="3260"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4500-</w:t>
            </w:r>
            <m:oMath>
              <m:sSub>
                <m:sSubPr>
                  <m:ctrlPr>
                    <w:rPr>
                      <w:rFonts w:ascii="Cambria Math" w:eastAsia="Cambria Math" w:hAnsi="Cambria Math"/>
                      <w:sz w:val="20"/>
                      <w:szCs w:val="20"/>
                    </w:rPr>
                  </m:ctrlPr>
                </m:sSubPr>
                <m:e>
                  <m:r>
                    <w:rPr>
                      <w:rFonts w:ascii="Cambria Math" w:eastAsia="Cambria Math" w:hAnsi="Cambria Math"/>
                      <w:sz w:val="20"/>
                      <w:szCs w:val="20"/>
                    </w:rPr>
                    <m:t>NO</m:t>
                  </m:r>
                </m:e>
                <m:sub>
                  <m:r>
                    <w:rPr>
                      <w:rFonts w:ascii="Cambria Math" w:eastAsia="Cambria Math" w:hAnsi="Cambria Math"/>
                      <w:sz w:val="20"/>
                      <w:szCs w:val="20"/>
                    </w:rPr>
                    <m:t>3</m:t>
                  </m:r>
                </m:sub>
              </m:sSub>
            </m:oMath>
            <w:r w:rsidRPr="00526BDB">
              <w:rPr>
                <w:rFonts w:ascii="Times New Roman" w:hAnsi="Times New Roman"/>
                <w:sz w:val="20"/>
                <w:szCs w:val="20"/>
              </w:rPr>
              <w:t xml:space="preserve"> E</w:t>
            </w:r>
          </w:p>
        </w:tc>
      </w:tr>
      <w:tr w:rsidR="00526BDB" w:rsidRPr="00526BDB" w:rsidTr="0052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7</w:t>
            </w:r>
          </w:p>
        </w:tc>
        <w:tc>
          <w:tcPr>
            <w:tcW w:w="2641"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Temperatura</w:t>
            </w:r>
          </w:p>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349"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In situ</w:t>
            </w:r>
          </w:p>
        </w:tc>
        <w:tc>
          <w:tcPr>
            <w:tcW w:w="2675"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526BDB">
              <w:rPr>
                <w:rFonts w:ascii="Times New Roman" w:hAnsi="Times New Roman"/>
                <w:sz w:val="20"/>
                <w:szCs w:val="20"/>
              </w:rPr>
              <w:t>Multiparámetro</w:t>
            </w:r>
            <w:proofErr w:type="spellEnd"/>
            <w:r w:rsidRPr="00526BDB">
              <w:rPr>
                <w:rFonts w:ascii="Times New Roman" w:hAnsi="Times New Roman"/>
                <w:sz w:val="20"/>
                <w:szCs w:val="20"/>
              </w:rPr>
              <w:t xml:space="preserve"> con 2 sondas marca HACH.</w:t>
            </w:r>
          </w:p>
        </w:tc>
        <w:tc>
          <w:tcPr>
            <w:tcW w:w="3260"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2550 B</w:t>
            </w:r>
          </w:p>
        </w:tc>
      </w:tr>
      <w:tr w:rsidR="00526BDB" w:rsidRPr="00526BDB" w:rsidTr="00526BDB">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8</w:t>
            </w:r>
          </w:p>
        </w:tc>
        <w:tc>
          <w:tcPr>
            <w:tcW w:w="2641"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Solidos Totales Disueltos(STD)</w:t>
            </w:r>
          </w:p>
        </w:tc>
        <w:tc>
          <w:tcPr>
            <w:tcW w:w="1349"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In situ</w:t>
            </w:r>
          </w:p>
        </w:tc>
        <w:tc>
          <w:tcPr>
            <w:tcW w:w="2675"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526BDB">
              <w:rPr>
                <w:rFonts w:ascii="Times New Roman" w:hAnsi="Times New Roman"/>
                <w:sz w:val="20"/>
                <w:szCs w:val="20"/>
              </w:rPr>
              <w:t>Multiparámetro</w:t>
            </w:r>
            <w:proofErr w:type="spellEnd"/>
            <w:r w:rsidRPr="00526BDB">
              <w:rPr>
                <w:rFonts w:ascii="Times New Roman" w:hAnsi="Times New Roman"/>
                <w:sz w:val="20"/>
                <w:szCs w:val="20"/>
              </w:rPr>
              <w:t xml:space="preserve"> con 2 sondas marca HACH.</w:t>
            </w:r>
          </w:p>
        </w:tc>
        <w:tc>
          <w:tcPr>
            <w:tcW w:w="3260" w:type="dxa"/>
          </w:tcPr>
          <w:p w:rsidR="00526BDB" w:rsidRPr="00526BDB" w:rsidRDefault="00526BDB" w:rsidP="00526BD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JF-AF-04</w:t>
            </w:r>
          </w:p>
        </w:tc>
      </w:tr>
      <w:tr w:rsidR="00526BDB" w:rsidRPr="00526BDB" w:rsidTr="0052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9</w:t>
            </w:r>
          </w:p>
        </w:tc>
        <w:tc>
          <w:tcPr>
            <w:tcW w:w="2641"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Turbiedad</w:t>
            </w:r>
            <w:r>
              <w:rPr>
                <w:rFonts w:ascii="Times New Roman" w:hAnsi="Times New Roman"/>
                <w:sz w:val="20"/>
                <w:szCs w:val="20"/>
              </w:rPr>
              <w:t xml:space="preserve"> </w:t>
            </w:r>
            <w:r w:rsidRPr="00526BDB">
              <w:rPr>
                <w:rFonts w:ascii="Times New Roman" w:hAnsi="Times New Roman"/>
                <w:sz w:val="20"/>
                <w:szCs w:val="20"/>
              </w:rPr>
              <w:t>(</w:t>
            </w:r>
            <w:proofErr w:type="spellStart"/>
            <w:r w:rsidRPr="00526BDB">
              <w:rPr>
                <w:rFonts w:ascii="Times New Roman" w:hAnsi="Times New Roman"/>
                <w:sz w:val="20"/>
                <w:szCs w:val="20"/>
              </w:rPr>
              <w:t>Turb</w:t>
            </w:r>
            <w:proofErr w:type="spellEnd"/>
            <w:r w:rsidRPr="00526BDB">
              <w:rPr>
                <w:rFonts w:ascii="Times New Roman" w:hAnsi="Times New Roman"/>
                <w:sz w:val="20"/>
                <w:szCs w:val="20"/>
              </w:rPr>
              <w:t>)</w:t>
            </w:r>
          </w:p>
        </w:tc>
        <w:tc>
          <w:tcPr>
            <w:tcW w:w="1349"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Laboratorio</w:t>
            </w:r>
          </w:p>
        </w:tc>
        <w:tc>
          <w:tcPr>
            <w:tcW w:w="2675"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526BDB">
              <w:rPr>
                <w:rFonts w:ascii="Times New Roman" w:hAnsi="Times New Roman"/>
                <w:sz w:val="20"/>
                <w:szCs w:val="20"/>
              </w:rPr>
              <w:t>Turbidímetro</w:t>
            </w:r>
            <w:proofErr w:type="spellEnd"/>
            <w:r w:rsidRPr="00526BDB">
              <w:rPr>
                <w:rFonts w:ascii="Times New Roman" w:hAnsi="Times New Roman"/>
                <w:sz w:val="20"/>
                <w:szCs w:val="20"/>
              </w:rPr>
              <w:t xml:space="preserve"> marca HACH</w:t>
            </w:r>
          </w:p>
        </w:tc>
        <w:tc>
          <w:tcPr>
            <w:tcW w:w="3260" w:type="dxa"/>
          </w:tcPr>
          <w:p w:rsidR="00526BDB" w:rsidRPr="00526BDB" w:rsidRDefault="00526BDB" w:rsidP="00526BD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26BDB">
              <w:rPr>
                <w:rFonts w:ascii="Times New Roman" w:hAnsi="Times New Roman"/>
                <w:sz w:val="20"/>
                <w:szCs w:val="20"/>
              </w:rPr>
              <w:t>2130 B</w:t>
            </w:r>
          </w:p>
        </w:tc>
      </w:tr>
    </w:tbl>
    <w:p w:rsidR="00860394" w:rsidRPr="00526BDB" w:rsidRDefault="00860394" w:rsidP="00526BDB">
      <w:pPr>
        <w:spacing w:after="0" w:line="360" w:lineRule="auto"/>
        <w:jc w:val="center"/>
        <w:rPr>
          <w:rFonts w:ascii="Times New Roman" w:hAnsi="Times New Roman"/>
          <w:sz w:val="18"/>
          <w:szCs w:val="24"/>
        </w:rPr>
      </w:pPr>
      <w:r w:rsidRPr="00526BDB">
        <w:rPr>
          <w:rFonts w:ascii="Times New Roman" w:hAnsi="Times New Roman"/>
          <w:b/>
          <w:sz w:val="18"/>
          <w:szCs w:val="24"/>
        </w:rPr>
        <w:t>Fuente:</w:t>
      </w:r>
      <w:r w:rsidRPr="00526BDB">
        <w:rPr>
          <w:rFonts w:ascii="Times New Roman" w:hAnsi="Times New Roman"/>
          <w:sz w:val="18"/>
          <w:szCs w:val="24"/>
        </w:rPr>
        <w:t xml:space="preserve"> Elaboración propia</w:t>
      </w:r>
    </w:p>
    <w:p w:rsidR="00526BDB" w:rsidRPr="00860394" w:rsidRDefault="00526BDB"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sz w:val="26"/>
          <w:szCs w:val="26"/>
        </w:rPr>
      </w:pPr>
      <w:r w:rsidRPr="00526BDB">
        <w:rPr>
          <w:rFonts w:ascii="Times New Roman" w:hAnsi="Times New Roman"/>
          <w:b/>
          <w:sz w:val="26"/>
          <w:szCs w:val="26"/>
        </w:rPr>
        <w:t>Metodología de medició</w:t>
      </w:r>
      <w:r w:rsidR="00526BDB" w:rsidRPr="00526BDB">
        <w:rPr>
          <w:rFonts w:ascii="Times New Roman" w:hAnsi="Times New Roman"/>
          <w:b/>
          <w:sz w:val="26"/>
          <w:szCs w:val="26"/>
        </w:rPr>
        <w:t>n de los parámetros de análisis</w:t>
      </w:r>
    </w:p>
    <w:p w:rsidR="00860394" w:rsidRPr="00526BDB" w:rsidRDefault="00860394" w:rsidP="00860394">
      <w:pPr>
        <w:spacing w:after="0" w:line="360" w:lineRule="auto"/>
        <w:jc w:val="both"/>
        <w:rPr>
          <w:rFonts w:ascii="Times New Roman" w:hAnsi="Times New Roman"/>
          <w:b/>
          <w:sz w:val="24"/>
          <w:szCs w:val="24"/>
        </w:rPr>
      </w:pPr>
      <w:r w:rsidRPr="00526BDB">
        <w:rPr>
          <w:rFonts w:ascii="Times New Roman" w:hAnsi="Times New Roman"/>
          <w:b/>
          <w:sz w:val="24"/>
          <w:szCs w:val="24"/>
        </w:rPr>
        <w:t>Determinación de nitratos</w:t>
      </w:r>
    </w:p>
    <w:p w:rsidR="00860394" w:rsidRPr="00860394" w:rsidRDefault="00860394" w:rsidP="00860394">
      <w:pPr>
        <w:spacing w:after="0" w:line="360" w:lineRule="auto"/>
        <w:jc w:val="both"/>
        <w:rPr>
          <w:rFonts w:ascii="Times New Roman" w:hAnsi="Times New Roman" w:hint="eastAsia"/>
          <w:sz w:val="24"/>
          <w:szCs w:val="24"/>
        </w:rPr>
      </w:pPr>
      <w:r w:rsidRPr="00860394">
        <w:rPr>
          <w:rFonts w:ascii="Times New Roman" w:hAnsi="Times New Roman"/>
          <w:sz w:val="24"/>
          <w:szCs w:val="24"/>
        </w:rPr>
        <w:t xml:space="preserve">Una vez obtenidas las muestras, se llevaron a laboratorio tomando las medidas de custodia establecidas en los protocolos, y posteriormente se ejecutaron las pruebas respectivas con el equipo Espectrofotómetro HACH, siguiendo siete pasos que a continuación </w:t>
      </w:r>
      <w:r w:rsidRPr="00860394">
        <w:rPr>
          <w:rFonts w:ascii="Times New Roman" w:hAnsi="Times New Roman" w:hint="eastAsia"/>
          <w:sz w:val="24"/>
          <w:szCs w:val="24"/>
        </w:rPr>
        <w:t>se detallan, aplicando el método de referencia APHA-4500-</w:t>
      </w:r>
      <w:r w:rsidRPr="00860394">
        <w:rPr>
          <w:rFonts w:ascii="Times New Roman" w:hAnsi="Times New Roman" w:hint="eastAsia"/>
          <w:sz w:val="24"/>
          <w:szCs w:val="24"/>
        </w:rPr>
        <w:t>〖</w:t>
      </w:r>
      <w:r w:rsidRPr="00860394">
        <w:rPr>
          <w:rFonts w:ascii="Times New Roman" w:hAnsi="Times New Roman" w:hint="eastAsia"/>
          <w:sz w:val="24"/>
          <w:szCs w:val="24"/>
        </w:rPr>
        <w:t>NO</w:t>
      </w:r>
      <w:r w:rsidRPr="00860394">
        <w:rPr>
          <w:rFonts w:ascii="Times New Roman" w:hAnsi="Times New Roman" w:hint="eastAsia"/>
          <w:sz w:val="24"/>
          <w:szCs w:val="24"/>
        </w:rPr>
        <w:t>〗</w:t>
      </w:r>
      <w:r w:rsidRPr="00860394">
        <w:rPr>
          <w:rFonts w:ascii="Times New Roman" w:hAnsi="Times New Roman" w:hint="eastAsia"/>
          <w:sz w:val="24"/>
          <w:szCs w:val="24"/>
        </w:rPr>
        <w:t>_3  E.</w:t>
      </w:r>
    </w:p>
    <w:p w:rsidR="00860394" w:rsidRPr="00526BDB" w:rsidRDefault="00860394" w:rsidP="00526BDB">
      <w:pPr>
        <w:pStyle w:val="Prrafodelista"/>
        <w:numPr>
          <w:ilvl w:val="0"/>
          <w:numId w:val="25"/>
        </w:numPr>
        <w:spacing w:after="0" w:line="360" w:lineRule="auto"/>
        <w:jc w:val="both"/>
        <w:rPr>
          <w:rFonts w:ascii="Times New Roman" w:hAnsi="Times New Roman"/>
          <w:sz w:val="24"/>
          <w:szCs w:val="24"/>
        </w:rPr>
      </w:pPr>
      <w:r w:rsidRPr="00526BDB">
        <w:rPr>
          <w:rFonts w:ascii="Times New Roman" w:hAnsi="Times New Roman"/>
          <w:sz w:val="24"/>
          <w:szCs w:val="24"/>
        </w:rPr>
        <w:t>Seleccionar el test.</w:t>
      </w:r>
    </w:p>
    <w:p w:rsidR="00860394" w:rsidRPr="00526BDB" w:rsidRDefault="00860394" w:rsidP="00526BDB">
      <w:pPr>
        <w:pStyle w:val="Prrafodelista"/>
        <w:numPr>
          <w:ilvl w:val="0"/>
          <w:numId w:val="25"/>
        </w:numPr>
        <w:spacing w:after="0" w:line="360" w:lineRule="auto"/>
        <w:jc w:val="both"/>
        <w:rPr>
          <w:rFonts w:ascii="Times New Roman" w:hAnsi="Times New Roman"/>
          <w:sz w:val="24"/>
          <w:szCs w:val="24"/>
        </w:rPr>
      </w:pPr>
      <w:r w:rsidRPr="00526BDB">
        <w:rPr>
          <w:rFonts w:ascii="Times New Roman" w:hAnsi="Times New Roman"/>
          <w:sz w:val="24"/>
          <w:szCs w:val="24"/>
        </w:rPr>
        <w:t>Insertar el adaptador con el alojamiento para cubetas de una pulgada cuadradas y llenar la cubeta cuadrada hasta la marca de 10ml con la muestra.</w:t>
      </w:r>
    </w:p>
    <w:p w:rsidR="00860394" w:rsidRPr="00526BDB" w:rsidRDefault="00860394" w:rsidP="00526BDB">
      <w:pPr>
        <w:pStyle w:val="Prrafodelista"/>
        <w:numPr>
          <w:ilvl w:val="0"/>
          <w:numId w:val="25"/>
        </w:numPr>
        <w:spacing w:after="0" w:line="360" w:lineRule="auto"/>
        <w:jc w:val="both"/>
        <w:rPr>
          <w:rFonts w:ascii="Times New Roman" w:hAnsi="Times New Roman"/>
          <w:sz w:val="24"/>
          <w:szCs w:val="24"/>
        </w:rPr>
      </w:pPr>
      <w:r w:rsidRPr="00526BDB">
        <w:rPr>
          <w:rFonts w:ascii="Times New Roman" w:hAnsi="Times New Roman"/>
          <w:sz w:val="24"/>
          <w:szCs w:val="24"/>
        </w:rPr>
        <w:t xml:space="preserve">La muestra preparada: añadir el contenido de un sobre de reactivo de nitrato </w:t>
      </w:r>
      <w:proofErr w:type="spellStart"/>
      <w:r w:rsidRPr="00526BDB">
        <w:rPr>
          <w:rFonts w:ascii="Times New Roman" w:hAnsi="Times New Roman"/>
          <w:sz w:val="24"/>
          <w:szCs w:val="24"/>
        </w:rPr>
        <w:t>NitraVer</w:t>
      </w:r>
      <w:proofErr w:type="spellEnd"/>
      <w:r w:rsidRPr="00526BDB">
        <w:rPr>
          <w:rFonts w:ascii="Times New Roman" w:hAnsi="Times New Roman"/>
          <w:sz w:val="24"/>
          <w:szCs w:val="24"/>
        </w:rPr>
        <w:t xml:space="preserve"> 3 en polvo a la cubeta. Agitar la cubeta con rotación, para mezclar, y seleccionar en la pantalla el símbolo de temporizador y pulsar ok. Comienza un periodo de reacción de 10 minutos.</w:t>
      </w:r>
    </w:p>
    <w:p w:rsidR="00860394" w:rsidRPr="00526BDB" w:rsidRDefault="00860394" w:rsidP="00526BDB">
      <w:pPr>
        <w:pStyle w:val="Prrafodelista"/>
        <w:numPr>
          <w:ilvl w:val="0"/>
          <w:numId w:val="25"/>
        </w:numPr>
        <w:spacing w:after="0" w:line="360" w:lineRule="auto"/>
        <w:jc w:val="both"/>
        <w:rPr>
          <w:rFonts w:ascii="Times New Roman" w:hAnsi="Times New Roman"/>
          <w:sz w:val="24"/>
          <w:szCs w:val="24"/>
        </w:rPr>
      </w:pPr>
      <w:r w:rsidRPr="00526BDB">
        <w:rPr>
          <w:rFonts w:ascii="Times New Roman" w:hAnsi="Times New Roman"/>
          <w:sz w:val="24"/>
          <w:szCs w:val="24"/>
        </w:rPr>
        <w:t>Preparación del blanco: después de que suene el temporizador llenar otra cubeta cuadrada hasta la marca de 10 ml con muestra.</w:t>
      </w:r>
    </w:p>
    <w:p w:rsidR="00860394" w:rsidRPr="00526BDB" w:rsidRDefault="00860394" w:rsidP="00526BDB">
      <w:pPr>
        <w:pStyle w:val="Prrafodelista"/>
        <w:numPr>
          <w:ilvl w:val="0"/>
          <w:numId w:val="25"/>
        </w:numPr>
        <w:spacing w:after="0" w:line="360" w:lineRule="auto"/>
        <w:jc w:val="both"/>
        <w:rPr>
          <w:rFonts w:ascii="Times New Roman" w:hAnsi="Times New Roman"/>
          <w:sz w:val="24"/>
          <w:szCs w:val="24"/>
        </w:rPr>
      </w:pPr>
      <w:r w:rsidRPr="00526BDB">
        <w:rPr>
          <w:rFonts w:ascii="Times New Roman" w:hAnsi="Times New Roman"/>
          <w:sz w:val="24"/>
          <w:szCs w:val="24"/>
        </w:rPr>
        <w:t>Limpiar bien el exterior de la cubeta (el blanco) y colocar el blanco en el equipo, cerrar la tapa, seleccionar en la pantalla cero.</w:t>
      </w:r>
    </w:p>
    <w:p w:rsidR="00860394" w:rsidRPr="00526BDB" w:rsidRDefault="00860394" w:rsidP="00526BDB">
      <w:pPr>
        <w:pStyle w:val="Prrafodelista"/>
        <w:numPr>
          <w:ilvl w:val="0"/>
          <w:numId w:val="25"/>
        </w:numPr>
        <w:spacing w:after="0" w:line="360" w:lineRule="auto"/>
        <w:jc w:val="both"/>
        <w:rPr>
          <w:rFonts w:ascii="Times New Roman" w:hAnsi="Times New Roman"/>
          <w:sz w:val="24"/>
          <w:szCs w:val="24"/>
        </w:rPr>
      </w:pPr>
      <w:r w:rsidRPr="00526BDB">
        <w:rPr>
          <w:rFonts w:ascii="Times New Roman" w:hAnsi="Times New Roman"/>
          <w:sz w:val="24"/>
          <w:szCs w:val="24"/>
        </w:rPr>
        <w:t>Limpiar bien el exterior de la cubeta (la muestra preparada) y colocar en el equipo. Cerrar la tapa. El resultado aparecerá en mg/L NO3—N.</w:t>
      </w:r>
    </w:p>
    <w:p w:rsidR="00860394" w:rsidRPr="00526BDB" w:rsidRDefault="00860394" w:rsidP="00526BDB">
      <w:pPr>
        <w:pStyle w:val="Prrafodelista"/>
        <w:numPr>
          <w:ilvl w:val="0"/>
          <w:numId w:val="25"/>
        </w:numPr>
        <w:spacing w:after="0" w:line="360" w:lineRule="auto"/>
        <w:jc w:val="both"/>
        <w:rPr>
          <w:rFonts w:ascii="Times New Roman" w:hAnsi="Times New Roman"/>
          <w:sz w:val="24"/>
          <w:szCs w:val="24"/>
        </w:rPr>
      </w:pPr>
      <w:r w:rsidRPr="00526BDB">
        <w:rPr>
          <w:rFonts w:ascii="Times New Roman" w:hAnsi="Times New Roman"/>
          <w:sz w:val="24"/>
          <w:szCs w:val="24"/>
        </w:rPr>
        <w:t>Registrar los valores obtenidos.</w:t>
      </w:r>
    </w:p>
    <w:p w:rsidR="00526BDB" w:rsidRDefault="00526BDB"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sz w:val="24"/>
          <w:szCs w:val="24"/>
        </w:rPr>
      </w:pPr>
      <w:r w:rsidRPr="00526BDB">
        <w:rPr>
          <w:rFonts w:ascii="Times New Roman" w:hAnsi="Times New Roman"/>
          <w:b/>
          <w:sz w:val="24"/>
          <w:szCs w:val="24"/>
        </w:rPr>
        <w:t>Determinac</w:t>
      </w:r>
      <w:r w:rsidR="00526BDB">
        <w:rPr>
          <w:rFonts w:ascii="Times New Roman" w:hAnsi="Times New Roman"/>
          <w:b/>
          <w:sz w:val="24"/>
          <w:szCs w:val="24"/>
        </w:rPr>
        <w:t xml:space="preserve">ión de </w:t>
      </w:r>
      <w:proofErr w:type="spellStart"/>
      <w:r w:rsidR="00526BDB">
        <w:rPr>
          <w:rFonts w:ascii="Times New Roman" w:hAnsi="Times New Roman"/>
          <w:b/>
          <w:sz w:val="24"/>
          <w:szCs w:val="24"/>
        </w:rPr>
        <w:t>coliformes</w:t>
      </w:r>
      <w:proofErr w:type="spellEnd"/>
      <w:r w:rsidR="00526BDB">
        <w:rPr>
          <w:rFonts w:ascii="Times New Roman" w:hAnsi="Times New Roman"/>
          <w:b/>
          <w:sz w:val="24"/>
          <w:szCs w:val="24"/>
        </w:rPr>
        <w:t xml:space="preserve"> fecales [NMP]</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Una vez obtenidas las muestras, se llevaron al laboratorio tomando las medidas de custodia antes mencionadas, y se ejecutó las pruebas respectivas, aplicando el método de referencia APHA 9221 F. Importante indicar que para la ejecución de la prueba se dividió en dos partes, una aprueba presuntiva y una confirmativa, que a continuación se detallan:</w:t>
      </w:r>
    </w:p>
    <w:p w:rsidR="00860394" w:rsidRPr="00526BDB" w:rsidRDefault="00860394" w:rsidP="00860394">
      <w:pPr>
        <w:spacing w:after="0" w:line="360" w:lineRule="auto"/>
        <w:jc w:val="both"/>
        <w:rPr>
          <w:rFonts w:ascii="Times New Roman" w:hAnsi="Times New Roman"/>
          <w:b/>
          <w:i/>
          <w:sz w:val="24"/>
          <w:szCs w:val="24"/>
        </w:rPr>
      </w:pPr>
      <w:r w:rsidRPr="00526BDB">
        <w:rPr>
          <w:rFonts w:ascii="Times New Roman" w:hAnsi="Times New Roman"/>
          <w:b/>
          <w:i/>
          <w:sz w:val="24"/>
          <w:szCs w:val="24"/>
        </w:rPr>
        <w:t xml:space="preserve">Prueba presuntiva </w:t>
      </w:r>
    </w:p>
    <w:p w:rsidR="00860394" w:rsidRPr="00526BDB" w:rsidRDefault="00860394" w:rsidP="00526BDB">
      <w:pPr>
        <w:pStyle w:val="Prrafodelista"/>
        <w:numPr>
          <w:ilvl w:val="0"/>
          <w:numId w:val="26"/>
        </w:numPr>
        <w:spacing w:after="0" w:line="360" w:lineRule="auto"/>
        <w:ind w:left="567"/>
        <w:jc w:val="both"/>
        <w:rPr>
          <w:rFonts w:ascii="Times New Roman" w:hAnsi="Times New Roman"/>
          <w:sz w:val="24"/>
          <w:szCs w:val="24"/>
        </w:rPr>
      </w:pPr>
      <w:r w:rsidRPr="00526BDB">
        <w:rPr>
          <w:rFonts w:ascii="Times New Roman" w:hAnsi="Times New Roman"/>
          <w:sz w:val="24"/>
          <w:szCs w:val="24"/>
        </w:rPr>
        <w:t>Tomar una batería con 15 tubos de ensayo distribuidos de 5 en 5.</w:t>
      </w:r>
    </w:p>
    <w:p w:rsidR="00860394" w:rsidRPr="00526BDB" w:rsidRDefault="00860394" w:rsidP="00526BDB">
      <w:pPr>
        <w:pStyle w:val="Prrafodelista"/>
        <w:numPr>
          <w:ilvl w:val="0"/>
          <w:numId w:val="26"/>
        </w:numPr>
        <w:spacing w:after="0" w:line="360" w:lineRule="auto"/>
        <w:ind w:left="567"/>
        <w:jc w:val="both"/>
        <w:rPr>
          <w:rFonts w:ascii="Times New Roman" w:hAnsi="Times New Roman"/>
          <w:sz w:val="24"/>
          <w:szCs w:val="24"/>
        </w:rPr>
      </w:pPr>
      <w:r w:rsidRPr="00526BDB">
        <w:rPr>
          <w:rFonts w:ascii="Times New Roman" w:hAnsi="Times New Roman"/>
          <w:sz w:val="24"/>
          <w:szCs w:val="24"/>
        </w:rPr>
        <w:t>En los primeros 5 tubos, (los que contienen caldo lactosa doble concentración) inocular con pipeta esterilizada, 10 ml de la muestra de agua a ser probada, en cada tubo (dilución 1:1).</w:t>
      </w:r>
    </w:p>
    <w:p w:rsidR="00860394" w:rsidRPr="00526BDB" w:rsidRDefault="00860394" w:rsidP="00526BDB">
      <w:pPr>
        <w:pStyle w:val="Prrafodelista"/>
        <w:numPr>
          <w:ilvl w:val="0"/>
          <w:numId w:val="26"/>
        </w:numPr>
        <w:spacing w:after="0" w:line="360" w:lineRule="auto"/>
        <w:ind w:left="567"/>
        <w:jc w:val="both"/>
        <w:rPr>
          <w:rFonts w:ascii="Times New Roman" w:hAnsi="Times New Roman"/>
          <w:sz w:val="24"/>
          <w:szCs w:val="24"/>
        </w:rPr>
      </w:pPr>
      <w:r w:rsidRPr="00526BDB">
        <w:rPr>
          <w:rFonts w:ascii="Times New Roman" w:hAnsi="Times New Roman"/>
          <w:sz w:val="24"/>
          <w:szCs w:val="24"/>
        </w:rPr>
        <w:t xml:space="preserve">En los 10 tubos restantes (los que contienen caldo </w:t>
      </w:r>
      <w:proofErr w:type="spellStart"/>
      <w:r w:rsidRPr="00526BDB">
        <w:rPr>
          <w:rFonts w:ascii="Times New Roman" w:hAnsi="Times New Roman"/>
          <w:sz w:val="24"/>
          <w:szCs w:val="24"/>
        </w:rPr>
        <w:t>lactosado</w:t>
      </w:r>
      <w:proofErr w:type="spellEnd"/>
      <w:r w:rsidRPr="00526BDB">
        <w:rPr>
          <w:rFonts w:ascii="Times New Roman" w:hAnsi="Times New Roman"/>
          <w:sz w:val="24"/>
          <w:szCs w:val="24"/>
        </w:rPr>
        <w:t xml:space="preserve"> simple concentración), inocular en los 5 primeros, 1 ml de la muestra (Dilución 1:10) y en los 5 últimos tubos, inocular 0,1 ml de la muestra, en cada tubo (dilución 1:100). </w:t>
      </w:r>
    </w:p>
    <w:p w:rsidR="00860394" w:rsidRPr="00526BDB" w:rsidRDefault="00860394" w:rsidP="00526BDB">
      <w:pPr>
        <w:pStyle w:val="Prrafodelista"/>
        <w:numPr>
          <w:ilvl w:val="0"/>
          <w:numId w:val="26"/>
        </w:numPr>
        <w:spacing w:after="0" w:line="360" w:lineRule="auto"/>
        <w:ind w:left="567"/>
        <w:jc w:val="both"/>
        <w:rPr>
          <w:rFonts w:ascii="Times New Roman" w:hAnsi="Times New Roman"/>
          <w:sz w:val="24"/>
          <w:szCs w:val="24"/>
        </w:rPr>
      </w:pPr>
      <w:r w:rsidRPr="00526BDB">
        <w:rPr>
          <w:rFonts w:ascii="Times New Roman" w:hAnsi="Times New Roman"/>
          <w:sz w:val="24"/>
          <w:szCs w:val="24"/>
        </w:rPr>
        <w:t>Mezclar.</w:t>
      </w:r>
    </w:p>
    <w:p w:rsidR="00860394" w:rsidRPr="00526BDB" w:rsidRDefault="00860394" w:rsidP="00526BDB">
      <w:pPr>
        <w:pStyle w:val="Prrafodelista"/>
        <w:numPr>
          <w:ilvl w:val="0"/>
          <w:numId w:val="26"/>
        </w:numPr>
        <w:spacing w:after="0" w:line="360" w:lineRule="auto"/>
        <w:ind w:left="567"/>
        <w:jc w:val="both"/>
        <w:rPr>
          <w:rFonts w:ascii="Times New Roman" w:hAnsi="Times New Roman"/>
          <w:sz w:val="24"/>
          <w:szCs w:val="24"/>
        </w:rPr>
      </w:pPr>
      <w:r w:rsidRPr="00526BDB">
        <w:rPr>
          <w:rFonts w:ascii="Times New Roman" w:hAnsi="Times New Roman"/>
          <w:sz w:val="24"/>
          <w:szCs w:val="24"/>
        </w:rPr>
        <w:t>Incubar a 35 ± 0,5oC durante 24/48 horas;</w:t>
      </w:r>
    </w:p>
    <w:p w:rsidR="00860394" w:rsidRDefault="00860394" w:rsidP="00526BDB">
      <w:pPr>
        <w:pStyle w:val="Prrafodelista"/>
        <w:numPr>
          <w:ilvl w:val="0"/>
          <w:numId w:val="26"/>
        </w:numPr>
        <w:spacing w:after="0" w:line="360" w:lineRule="auto"/>
        <w:ind w:left="567"/>
        <w:jc w:val="both"/>
        <w:rPr>
          <w:rFonts w:ascii="Times New Roman" w:hAnsi="Times New Roman"/>
          <w:sz w:val="24"/>
          <w:szCs w:val="24"/>
        </w:rPr>
      </w:pPr>
      <w:r w:rsidRPr="00526BDB">
        <w:rPr>
          <w:rFonts w:ascii="Times New Roman" w:hAnsi="Times New Roman"/>
          <w:sz w:val="24"/>
          <w:szCs w:val="24"/>
        </w:rPr>
        <w:t>Si al cabo de 24/48 horas, haya la formación de gas dentro del tubo de Durham, significa que la prueba presuntiva ha sido positiva. En este caso, hacer prueba confirmativa. Si no hay la formación de gas durante el período de incubación, la prueba termina en esta fase y se considera el resultado de la prueba negativo.</w:t>
      </w:r>
    </w:p>
    <w:p w:rsidR="00526BDB" w:rsidRDefault="00526BDB" w:rsidP="00526BDB">
      <w:pPr>
        <w:spacing w:after="0" w:line="360" w:lineRule="auto"/>
        <w:jc w:val="both"/>
        <w:rPr>
          <w:rFonts w:ascii="Times New Roman" w:hAnsi="Times New Roman"/>
          <w:sz w:val="24"/>
          <w:szCs w:val="24"/>
        </w:rPr>
      </w:pPr>
    </w:p>
    <w:p w:rsidR="00526BDB" w:rsidRPr="00526BDB" w:rsidRDefault="00526BDB" w:rsidP="00526BDB">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i/>
          <w:sz w:val="24"/>
          <w:szCs w:val="24"/>
        </w:rPr>
      </w:pPr>
      <w:r w:rsidRPr="00526BDB">
        <w:rPr>
          <w:rFonts w:ascii="Times New Roman" w:hAnsi="Times New Roman"/>
          <w:b/>
          <w:i/>
          <w:sz w:val="24"/>
          <w:szCs w:val="24"/>
        </w:rPr>
        <w:t>Prueba confirmativa</w:t>
      </w:r>
    </w:p>
    <w:p w:rsidR="00860394" w:rsidRPr="00526BDB" w:rsidRDefault="00860394" w:rsidP="00526BDB">
      <w:pPr>
        <w:pStyle w:val="Prrafodelista"/>
        <w:numPr>
          <w:ilvl w:val="0"/>
          <w:numId w:val="27"/>
        </w:numPr>
        <w:spacing w:after="0" w:line="360" w:lineRule="auto"/>
        <w:jc w:val="both"/>
        <w:rPr>
          <w:rFonts w:ascii="Times New Roman" w:hAnsi="Times New Roman"/>
          <w:sz w:val="24"/>
          <w:szCs w:val="24"/>
        </w:rPr>
      </w:pPr>
      <w:r w:rsidRPr="00526BDB">
        <w:rPr>
          <w:rFonts w:ascii="Times New Roman" w:hAnsi="Times New Roman"/>
          <w:sz w:val="24"/>
          <w:szCs w:val="24"/>
        </w:rPr>
        <w:t>Tomar el número de tubos de prueba presuntiva que resultaron positivos (formación de gas) en las 3 diluciones 1:1; 1:10 y 1:100.</w:t>
      </w:r>
    </w:p>
    <w:p w:rsidR="00860394" w:rsidRPr="00526BDB" w:rsidRDefault="00860394" w:rsidP="00526BDB">
      <w:pPr>
        <w:pStyle w:val="Prrafodelista"/>
        <w:numPr>
          <w:ilvl w:val="0"/>
          <w:numId w:val="27"/>
        </w:numPr>
        <w:spacing w:after="0" w:line="360" w:lineRule="auto"/>
        <w:jc w:val="both"/>
        <w:rPr>
          <w:rFonts w:ascii="Times New Roman" w:hAnsi="Times New Roman"/>
          <w:sz w:val="24"/>
          <w:szCs w:val="24"/>
        </w:rPr>
      </w:pPr>
      <w:r w:rsidRPr="00526BDB">
        <w:rPr>
          <w:rFonts w:ascii="Times New Roman" w:hAnsi="Times New Roman"/>
          <w:sz w:val="24"/>
          <w:szCs w:val="24"/>
        </w:rPr>
        <w:t>Tomar igual número de tubos conteniendo el medio de cultivo verde brillante bilis a 2%.</w:t>
      </w:r>
    </w:p>
    <w:p w:rsidR="00860394" w:rsidRPr="00526BDB" w:rsidRDefault="00860394" w:rsidP="00526BDB">
      <w:pPr>
        <w:pStyle w:val="Prrafodelista"/>
        <w:numPr>
          <w:ilvl w:val="0"/>
          <w:numId w:val="27"/>
        </w:numPr>
        <w:spacing w:after="0" w:line="360" w:lineRule="auto"/>
        <w:jc w:val="both"/>
        <w:rPr>
          <w:rFonts w:ascii="Times New Roman" w:hAnsi="Times New Roman"/>
          <w:sz w:val="24"/>
          <w:szCs w:val="24"/>
        </w:rPr>
      </w:pPr>
      <w:r w:rsidRPr="00526BDB">
        <w:rPr>
          <w:rFonts w:ascii="Times New Roman" w:hAnsi="Times New Roman"/>
          <w:sz w:val="24"/>
          <w:szCs w:val="24"/>
        </w:rPr>
        <w:t>Con el asa de platina, previamente flameada y fría, retirar de cada tubo positivo una porción de muestra e inocular en el tubo correspondiente conteniendo el medio verde brillante. A este procedimiento se da el nombre de trasplante.</w:t>
      </w:r>
    </w:p>
    <w:p w:rsidR="00860394" w:rsidRPr="00526BDB" w:rsidRDefault="00860394" w:rsidP="00526BDB">
      <w:pPr>
        <w:pStyle w:val="Prrafodelista"/>
        <w:numPr>
          <w:ilvl w:val="0"/>
          <w:numId w:val="27"/>
        </w:numPr>
        <w:spacing w:after="0" w:line="360" w:lineRule="auto"/>
        <w:jc w:val="both"/>
        <w:rPr>
          <w:rFonts w:ascii="Times New Roman" w:hAnsi="Times New Roman"/>
          <w:sz w:val="24"/>
          <w:szCs w:val="24"/>
        </w:rPr>
      </w:pPr>
      <w:r w:rsidRPr="00526BDB">
        <w:rPr>
          <w:rFonts w:ascii="Times New Roman" w:hAnsi="Times New Roman"/>
          <w:sz w:val="24"/>
          <w:szCs w:val="24"/>
        </w:rPr>
        <w:t>Identificar los tubos.</w:t>
      </w:r>
    </w:p>
    <w:p w:rsidR="00860394" w:rsidRPr="00526BDB" w:rsidRDefault="00860394" w:rsidP="00526BDB">
      <w:pPr>
        <w:pStyle w:val="Prrafodelista"/>
        <w:numPr>
          <w:ilvl w:val="0"/>
          <w:numId w:val="27"/>
        </w:numPr>
        <w:spacing w:after="0" w:line="360" w:lineRule="auto"/>
        <w:jc w:val="both"/>
        <w:rPr>
          <w:rFonts w:ascii="Times New Roman" w:hAnsi="Times New Roman"/>
          <w:sz w:val="24"/>
          <w:szCs w:val="24"/>
        </w:rPr>
      </w:pPr>
      <w:r w:rsidRPr="00526BDB">
        <w:rPr>
          <w:rFonts w:ascii="Times New Roman" w:hAnsi="Times New Roman"/>
          <w:sz w:val="24"/>
          <w:szCs w:val="24"/>
        </w:rPr>
        <w:t>Incubar durante 24/48 horas a 35 ± 0,5°C.</w:t>
      </w:r>
    </w:p>
    <w:p w:rsidR="00860394" w:rsidRPr="00526BDB" w:rsidRDefault="00860394" w:rsidP="00526BDB">
      <w:pPr>
        <w:pStyle w:val="Prrafodelista"/>
        <w:numPr>
          <w:ilvl w:val="0"/>
          <w:numId w:val="27"/>
        </w:numPr>
        <w:spacing w:after="0" w:line="360" w:lineRule="auto"/>
        <w:jc w:val="both"/>
        <w:rPr>
          <w:rFonts w:ascii="Times New Roman" w:hAnsi="Times New Roman"/>
          <w:sz w:val="24"/>
          <w:szCs w:val="24"/>
        </w:rPr>
      </w:pPr>
      <w:r w:rsidRPr="00526BDB">
        <w:rPr>
          <w:rFonts w:ascii="Times New Roman" w:hAnsi="Times New Roman"/>
          <w:sz w:val="24"/>
          <w:szCs w:val="24"/>
        </w:rPr>
        <w:t>Si al final del período de 24/48 horas haya la formación de gas dentro del tubo de Durham, la prueba es considerada positiva, caso no haya formación de gas, la prueba es considerada negativa.</w:t>
      </w:r>
    </w:p>
    <w:p w:rsidR="00526BDB" w:rsidRDefault="00526BDB"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i/>
          <w:sz w:val="24"/>
          <w:szCs w:val="24"/>
        </w:rPr>
      </w:pPr>
      <w:r w:rsidRPr="00526BDB">
        <w:rPr>
          <w:rFonts w:ascii="Times New Roman" w:hAnsi="Times New Roman"/>
          <w:b/>
          <w:i/>
          <w:sz w:val="24"/>
          <w:szCs w:val="24"/>
        </w:rPr>
        <w:t>Determinación del pH</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La medición del pH en los tres puntos establecidos, se realizó in situ utilizando el pH-</w:t>
      </w:r>
      <w:proofErr w:type="gramStart"/>
      <w:r w:rsidRPr="00860394">
        <w:rPr>
          <w:rFonts w:ascii="Times New Roman" w:hAnsi="Times New Roman"/>
          <w:sz w:val="24"/>
          <w:szCs w:val="24"/>
        </w:rPr>
        <w:t>metro  o</w:t>
      </w:r>
      <w:proofErr w:type="gramEnd"/>
      <w:r w:rsidRPr="00860394">
        <w:rPr>
          <w:rFonts w:ascii="Times New Roman" w:hAnsi="Times New Roman"/>
          <w:sz w:val="24"/>
          <w:szCs w:val="24"/>
        </w:rPr>
        <w:t xml:space="preserve"> potenciómetro basado en el método de referencia APHA 4500-HB, mediante los siguientes pasos:</w:t>
      </w:r>
    </w:p>
    <w:p w:rsidR="00860394" w:rsidRPr="00526BDB" w:rsidRDefault="00860394" w:rsidP="00526BDB">
      <w:pPr>
        <w:pStyle w:val="Prrafodelista"/>
        <w:numPr>
          <w:ilvl w:val="0"/>
          <w:numId w:val="28"/>
        </w:numPr>
        <w:spacing w:after="0" w:line="360" w:lineRule="auto"/>
        <w:ind w:hanging="436"/>
        <w:jc w:val="both"/>
        <w:rPr>
          <w:rFonts w:ascii="Times New Roman" w:hAnsi="Times New Roman"/>
          <w:sz w:val="24"/>
          <w:szCs w:val="24"/>
        </w:rPr>
      </w:pPr>
      <w:r w:rsidRPr="00526BDB">
        <w:rPr>
          <w:rFonts w:ascii="Times New Roman" w:hAnsi="Times New Roman"/>
          <w:sz w:val="24"/>
          <w:szCs w:val="24"/>
        </w:rPr>
        <w:t>Conectar el equipo y esperar su estabilización.</w:t>
      </w:r>
    </w:p>
    <w:p w:rsidR="00860394" w:rsidRPr="00526BDB" w:rsidRDefault="00860394" w:rsidP="00526BDB">
      <w:pPr>
        <w:pStyle w:val="Prrafodelista"/>
        <w:numPr>
          <w:ilvl w:val="0"/>
          <w:numId w:val="28"/>
        </w:numPr>
        <w:spacing w:after="0" w:line="360" w:lineRule="auto"/>
        <w:ind w:hanging="436"/>
        <w:jc w:val="both"/>
        <w:rPr>
          <w:rFonts w:ascii="Times New Roman" w:hAnsi="Times New Roman"/>
          <w:sz w:val="24"/>
          <w:szCs w:val="24"/>
        </w:rPr>
      </w:pPr>
      <w:r w:rsidRPr="00526BDB">
        <w:rPr>
          <w:rFonts w:ascii="Times New Roman" w:hAnsi="Times New Roman"/>
          <w:sz w:val="24"/>
          <w:szCs w:val="24"/>
        </w:rPr>
        <w:t>Lavar los electrodos con agua destilada y secarlos con papel absorbente.</w:t>
      </w:r>
    </w:p>
    <w:p w:rsidR="00860394" w:rsidRPr="00526BDB" w:rsidRDefault="00860394" w:rsidP="00526BDB">
      <w:pPr>
        <w:pStyle w:val="Prrafodelista"/>
        <w:numPr>
          <w:ilvl w:val="0"/>
          <w:numId w:val="28"/>
        </w:numPr>
        <w:spacing w:after="0" w:line="360" w:lineRule="auto"/>
        <w:ind w:hanging="436"/>
        <w:jc w:val="both"/>
        <w:rPr>
          <w:rFonts w:ascii="Times New Roman" w:hAnsi="Times New Roman"/>
          <w:sz w:val="24"/>
          <w:szCs w:val="24"/>
        </w:rPr>
      </w:pPr>
      <w:r w:rsidRPr="00526BDB">
        <w:rPr>
          <w:rFonts w:ascii="Times New Roman" w:hAnsi="Times New Roman"/>
          <w:sz w:val="24"/>
          <w:szCs w:val="24"/>
        </w:rPr>
        <w:t>Calibrar el equipo con las soluciones estándares (pH 4 – 7 o 10).</w:t>
      </w:r>
    </w:p>
    <w:p w:rsidR="00860394" w:rsidRPr="00526BDB" w:rsidRDefault="00860394" w:rsidP="00526BDB">
      <w:pPr>
        <w:pStyle w:val="Prrafodelista"/>
        <w:numPr>
          <w:ilvl w:val="0"/>
          <w:numId w:val="28"/>
        </w:numPr>
        <w:spacing w:after="0" w:line="360" w:lineRule="auto"/>
        <w:ind w:hanging="436"/>
        <w:jc w:val="both"/>
        <w:rPr>
          <w:rFonts w:ascii="Times New Roman" w:hAnsi="Times New Roman"/>
          <w:sz w:val="24"/>
          <w:szCs w:val="24"/>
        </w:rPr>
      </w:pPr>
      <w:r w:rsidRPr="00526BDB">
        <w:rPr>
          <w:rFonts w:ascii="Times New Roman" w:hAnsi="Times New Roman"/>
          <w:sz w:val="24"/>
          <w:szCs w:val="24"/>
        </w:rPr>
        <w:t>Lavar otra vez los electrodos con agua destilada y secarlos.</w:t>
      </w:r>
    </w:p>
    <w:p w:rsidR="00860394" w:rsidRPr="00526BDB" w:rsidRDefault="00860394" w:rsidP="00526BDB">
      <w:pPr>
        <w:pStyle w:val="Prrafodelista"/>
        <w:numPr>
          <w:ilvl w:val="0"/>
          <w:numId w:val="28"/>
        </w:numPr>
        <w:spacing w:after="0" w:line="360" w:lineRule="auto"/>
        <w:ind w:hanging="436"/>
        <w:jc w:val="both"/>
        <w:rPr>
          <w:rFonts w:ascii="Times New Roman" w:hAnsi="Times New Roman"/>
          <w:sz w:val="24"/>
          <w:szCs w:val="24"/>
        </w:rPr>
      </w:pPr>
      <w:r w:rsidRPr="00526BDB">
        <w:rPr>
          <w:rFonts w:ascii="Times New Roman" w:hAnsi="Times New Roman"/>
          <w:sz w:val="24"/>
          <w:szCs w:val="24"/>
        </w:rPr>
        <w:t>Introducir los electrodos en la muestra a ser probada y hacer la lectura.</w:t>
      </w:r>
    </w:p>
    <w:p w:rsidR="00860394" w:rsidRPr="00526BDB" w:rsidRDefault="00860394" w:rsidP="00526BDB">
      <w:pPr>
        <w:pStyle w:val="Prrafodelista"/>
        <w:numPr>
          <w:ilvl w:val="0"/>
          <w:numId w:val="28"/>
        </w:numPr>
        <w:spacing w:after="0" w:line="360" w:lineRule="auto"/>
        <w:ind w:hanging="436"/>
        <w:jc w:val="both"/>
        <w:rPr>
          <w:rFonts w:ascii="Times New Roman" w:hAnsi="Times New Roman"/>
          <w:sz w:val="24"/>
          <w:szCs w:val="24"/>
        </w:rPr>
      </w:pPr>
      <w:r w:rsidRPr="00526BDB">
        <w:rPr>
          <w:rFonts w:ascii="Times New Roman" w:hAnsi="Times New Roman"/>
          <w:sz w:val="24"/>
          <w:szCs w:val="24"/>
        </w:rPr>
        <w:t>Lavar una vez más y dejarlos inmersos en agua destilada.</w:t>
      </w:r>
    </w:p>
    <w:p w:rsidR="00860394" w:rsidRPr="00526BDB" w:rsidRDefault="00860394" w:rsidP="00526BDB">
      <w:pPr>
        <w:pStyle w:val="Prrafodelista"/>
        <w:numPr>
          <w:ilvl w:val="0"/>
          <w:numId w:val="28"/>
        </w:numPr>
        <w:spacing w:after="0" w:line="360" w:lineRule="auto"/>
        <w:ind w:hanging="436"/>
        <w:jc w:val="both"/>
        <w:rPr>
          <w:rFonts w:ascii="Times New Roman" w:hAnsi="Times New Roman"/>
          <w:sz w:val="24"/>
          <w:szCs w:val="24"/>
        </w:rPr>
      </w:pPr>
      <w:r w:rsidRPr="00526BDB">
        <w:rPr>
          <w:rFonts w:ascii="Times New Roman" w:hAnsi="Times New Roman"/>
          <w:sz w:val="24"/>
          <w:szCs w:val="24"/>
        </w:rPr>
        <w:t>Desconectar el equipo.</w:t>
      </w:r>
    </w:p>
    <w:p w:rsidR="00526BDB" w:rsidRPr="00860394" w:rsidRDefault="00526BDB"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i/>
          <w:sz w:val="24"/>
          <w:szCs w:val="24"/>
        </w:rPr>
      </w:pPr>
      <w:r w:rsidRPr="00526BDB">
        <w:rPr>
          <w:rFonts w:ascii="Times New Roman" w:hAnsi="Times New Roman"/>
          <w:b/>
          <w:i/>
          <w:sz w:val="24"/>
          <w:szCs w:val="24"/>
        </w:rPr>
        <w:t>Determinación de la turbiedad</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Para la determinación de la turbiedad se llevó a cabo el procedimiento que a continuación se detalla, aplicando el método de referencia APHA 2130 B.</w:t>
      </w:r>
    </w:p>
    <w:p w:rsidR="00860394" w:rsidRPr="00526BDB" w:rsidRDefault="00860394" w:rsidP="00526BDB">
      <w:pPr>
        <w:pStyle w:val="Prrafodelista"/>
        <w:numPr>
          <w:ilvl w:val="0"/>
          <w:numId w:val="29"/>
        </w:numPr>
        <w:spacing w:after="0" w:line="360" w:lineRule="auto"/>
        <w:ind w:left="567" w:hanging="425"/>
        <w:jc w:val="both"/>
        <w:rPr>
          <w:rFonts w:ascii="Times New Roman" w:hAnsi="Times New Roman"/>
          <w:sz w:val="24"/>
          <w:szCs w:val="24"/>
        </w:rPr>
      </w:pPr>
      <w:r w:rsidRPr="00526BDB">
        <w:rPr>
          <w:rFonts w:ascii="Times New Roman" w:hAnsi="Times New Roman"/>
          <w:sz w:val="24"/>
          <w:szCs w:val="24"/>
        </w:rPr>
        <w:t xml:space="preserve">Calibrar el </w:t>
      </w:r>
      <w:proofErr w:type="spellStart"/>
      <w:r w:rsidRPr="00526BDB">
        <w:rPr>
          <w:rFonts w:ascii="Times New Roman" w:hAnsi="Times New Roman"/>
          <w:sz w:val="24"/>
          <w:szCs w:val="24"/>
        </w:rPr>
        <w:t>turbidímetro</w:t>
      </w:r>
      <w:proofErr w:type="spellEnd"/>
      <w:r w:rsidRPr="00526BDB">
        <w:rPr>
          <w:rFonts w:ascii="Times New Roman" w:hAnsi="Times New Roman"/>
          <w:sz w:val="24"/>
          <w:szCs w:val="24"/>
        </w:rPr>
        <w:t xml:space="preserve"> de acuerdo a las instrucciones del fabricante.</w:t>
      </w:r>
    </w:p>
    <w:p w:rsidR="00860394" w:rsidRDefault="00860394" w:rsidP="00526BDB">
      <w:pPr>
        <w:pStyle w:val="Prrafodelista"/>
        <w:numPr>
          <w:ilvl w:val="0"/>
          <w:numId w:val="29"/>
        </w:numPr>
        <w:spacing w:after="0" w:line="360" w:lineRule="auto"/>
        <w:ind w:left="567" w:hanging="425"/>
        <w:jc w:val="both"/>
        <w:rPr>
          <w:rFonts w:ascii="Times New Roman" w:hAnsi="Times New Roman"/>
          <w:sz w:val="24"/>
          <w:szCs w:val="24"/>
        </w:rPr>
      </w:pPr>
      <w:r w:rsidRPr="00526BDB">
        <w:rPr>
          <w:rFonts w:ascii="Times New Roman" w:hAnsi="Times New Roman"/>
          <w:sz w:val="24"/>
          <w:szCs w:val="24"/>
        </w:rPr>
        <w:t xml:space="preserve">Agitar la muestra suavemente y esperar hasta que las burbujas de aire desaparezcan y ponerla en la célula de muestra del </w:t>
      </w:r>
      <w:proofErr w:type="spellStart"/>
      <w:r w:rsidRPr="00526BDB">
        <w:rPr>
          <w:rFonts w:ascii="Times New Roman" w:hAnsi="Times New Roman"/>
          <w:sz w:val="24"/>
          <w:szCs w:val="24"/>
        </w:rPr>
        <w:t>turbidímetro</w:t>
      </w:r>
      <w:proofErr w:type="spellEnd"/>
      <w:r w:rsidRPr="00526BDB">
        <w:rPr>
          <w:rFonts w:ascii="Times New Roman" w:hAnsi="Times New Roman"/>
          <w:sz w:val="24"/>
          <w:szCs w:val="24"/>
        </w:rPr>
        <w:t>; hacer la lectura de la turbidez directamente en la escala del instrumento o en la curva de calibración apropiada.</w:t>
      </w:r>
    </w:p>
    <w:p w:rsidR="00526BDB" w:rsidRPr="00526BDB" w:rsidRDefault="00526BDB" w:rsidP="00526BDB">
      <w:pPr>
        <w:spacing w:after="0" w:line="360" w:lineRule="auto"/>
        <w:jc w:val="both"/>
        <w:rPr>
          <w:rFonts w:ascii="Times New Roman" w:hAnsi="Times New Roman"/>
          <w:sz w:val="24"/>
          <w:szCs w:val="24"/>
        </w:rPr>
      </w:pPr>
    </w:p>
    <w:p w:rsidR="00860394" w:rsidRPr="00526BDB" w:rsidRDefault="00526BDB" w:rsidP="00860394">
      <w:pPr>
        <w:spacing w:after="0" w:line="360" w:lineRule="auto"/>
        <w:jc w:val="both"/>
        <w:rPr>
          <w:rFonts w:ascii="Times New Roman" w:hAnsi="Times New Roman"/>
          <w:b/>
          <w:i/>
          <w:sz w:val="24"/>
          <w:szCs w:val="24"/>
        </w:rPr>
      </w:pPr>
      <w:r w:rsidRPr="00526BDB">
        <w:rPr>
          <w:rFonts w:ascii="Times New Roman" w:hAnsi="Times New Roman"/>
          <w:b/>
          <w:i/>
          <w:sz w:val="24"/>
          <w:szCs w:val="24"/>
        </w:rPr>
        <w:t>Determinación de la temperatura</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La medición de la temperatura, se la realizó in situ, utilizando un equipo </w:t>
      </w:r>
      <w:proofErr w:type="spellStart"/>
      <w:r w:rsidRPr="00860394">
        <w:rPr>
          <w:rFonts w:ascii="Times New Roman" w:hAnsi="Times New Roman"/>
          <w:sz w:val="24"/>
          <w:szCs w:val="24"/>
        </w:rPr>
        <w:t>multiparámetro</w:t>
      </w:r>
      <w:proofErr w:type="spellEnd"/>
      <w:r w:rsidRPr="00860394">
        <w:rPr>
          <w:rFonts w:ascii="Times New Roman" w:hAnsi="Times New Roman"/>
          <w:sz w:val="24"/>
          <w:szCs w:val="24"/>
        </w:rPr>
        <w:t>, basados en el método de referencia APHA 2550B, por medio de los siguientes pasos:</w:t>
      </w:r>
    </w:p>
    <w:p w:rsidR="00860394" w:rsidRPr="00526BDB" w:rsidRDefault="00860394" w:rsidP="00526BDB">
      <w:pPr>
        <w:pStyle w:val="Prrafodelista"/>
        <w:numPr>
          <w:ilvl w:val="0"/>
          <w:numId w:val="30"/>
        </w:numPr>
        <w:spacing w:after="0" w:line="360" w:lineRule="auto"/>
        <w:ind w:hanging="436"/>
        <w:jc w:val="both"/>
        <w:rPr>
          <w:rFonts w:ascii="Times New Roman" w:hAnsi="Times New Roman"/>
          <w:sz w:val="24"/>
          <w:szCs w:val="24"/>
        </w:rPr>
      </w:pPr>
      <w:r w:rsidRPr="00526BDB">
        <w:rPr>
          <w:rFonts w:ascii="Times New Roman" w:hAnsi="Times New Roman"/>
          <w:sz w:val="24"/>
          <w:szCs w:val="24"/>
        </w:rPr>
        <w:t xml:space="preserve">Recolectar un poco de agua en un </w:t>
      </w:r>
      <w:proofErr w:type="spellStart"/>
      <w:r w:rsidRPr="00526BDB">
        <w:rPr>
          <w:rFonts w:ascii="Times New Roman" w:hAnsi="Times New Roman"/>
          <w:sz w:val="24"/>
          <w:szCs w:val="24"/>
        </w:rPr>
        <w:t>becker</w:t>
      </w:r>
      <w:proofErr w:type="spellEnd"/>
      <w:r w:rsidRPr="00526BDB">
        <w:rPr>
          <w:rFonts w:ascii="Times New Roman" w:hAnsi="Times New Roman"/>
          <w:sz w:val="24"/>
          <w:szCs w:val="24"/>
        </w:rPr>
        <w:t xml:space="preserve"> de 250 ml.</w:t>
      </w:r>
    </w:p>
    <w:p w:rsidR="00860394" w:rsidRPr="00526BDB" w:rsidRDefault="00860394" w:rsidP="00526BDB">
      <w:pPr>
        <w:pStyle w:val="Prrafodelista"/>
        <w:numPr>
          <w:ilvl w:val="0"/>
          <w:numId w:val="30"/>
        </w:numPr>
        <w:spacing w:after="0" w:line="360" w:lineRule="auto"/>
        <w:ind w:hanging="436"/>
        <w:jc w:val="both"/>
        <w:rPr>
          <w:rFonts w:ascii="Times New Roman" w:hAnsi="Times New Roman"/>
          <w:sz w:val="24"/>
          <w:szCs w:val="24"/>
        </w:rPr>
      </w:pPr>
      <w:r w:rsidRPr="00526BDB">
        <w:rPr>
          <w:rFonts w:ascii="Times New Roman" w:hAnsi="Times New Roman"/>
          <w:sz w:val="24"/>
          <w:szCs w:val="24"/>
        </w:rPr>
        <w:t>Sumergir el termómetro en el agua.</w:t>
      </w:r>
    </w:p>
    <w:p w:rsidR="00860394" w:rsidRPr="00526BDB" w:rsidRDefault="00860394" w:rsidP="00526BDB">
      <w:pPr>
        <w:pStyle w:val="Prrafodelista"/>
        <w:numPr>
          <w:ilvl w:val="0"/>
          <w:numId w:val="30"/>
        </w:numPr>
        <w:spacing w:after="0" w:line="360" w:lineRule="auto"/>
        <w:ind w:hanging="436"/>
        <w:jc w:val="both"/>
        <w:rPr>
          <w:rFonts w:ascii="Times New Roman" w:hAnsi="Times New Roman"/>
          <w:sz w:val="24"/>
          <w:szCs w:val="24"/>
        </w:rPr>
      </w:pPr>
      <w:r w:rsidRPr="00526BDB">
        <w:rPr>
          <w:rFonts w:ascii="Times New Roman" w:hAnsi="Times New Roman"/>
          <w:sz w:val="24"/>
          <w:szCs w:val="24"/>
        </w:rPr>
        <w:t xml:space="preserve">Esperar hasta que el material </w:t>
      </w:r>
      <w:proofErr w:type="spellStart"/>
      <w:r w:rsidRPr="00526BDB">
        <w:rPr>
          <w:rFonts w:ascii="Times New Roman" w:hAnsi="Times New Roman"/>
          <w:sz w:val="24"/>
          <w:szCs w:val="24"/>
        </w:rPr>
        <w:t>dilatante</w:t>
      </w:r>
      <w:proofErr w:type="spellEnd"/>
      <w:r w:rsidRPr="00526BDB">
        <w:rPr>
          <w:rFonts w:ascii="Times New Roman" w:hAnsi="Times New Roman"/>
          <w:sz w:val="24"/>
          <w:szCs w:val="24"/>
        </w:rPr>
        <w:t xml:space="preserve"> (mercurio) se estabilice.</w:t>
      </w:r>
    </w:p>
    <w:p w:rsidR="00860394" w:rsidRPr="00526BDB" w:rsidRDefault="00860394" w:rsidP="00526BDB">
      <w:pPr>
        <w:pStyle w:val="Prrafodelista"/>
        <w:numPr>
          <w:ilvl w:val="0"/>
          <w:numId w:val="30"/>
        </w:numPr>
        <w:spacing w:after="0" w:line="360" w:lineRule="auto"/>
        <w:ind w:hanging="436"/>
        <w:jc w:val="both"/>
        <w:rPr>
          <w:rFonts w:ascii="Times New Roman" w:hAnsi="Times New Roman"/>
          <w:sz w:val="24"/>
          <w:szCs w:val="24"/>
        </w:rPr>
      </w:pPr>
      <w:r w:rsidRPr="00526BDB">
        <w:rPr>
          <w:rFonts w:ascii="Times New Roman" w:hAnsi="Times New Roman"/>
          <w:sz w:val="24"/>
          <w:szCs w:val="24"/>
        </w:rPr>
        <w:t>Hacer la lectura con el bulbo del termómetro aun dentro del agua.</w:t>
      </w:r>
    </w:p>
    <w:p w:rsidR="00526BDB" w:rsidRDefault="00526BDB" w:rsidP="00860394">
      <w:pPr>
        <w:spacing w:after="0" w:line="360" w:lineRule="auto"/>
        <w:jc w:val="both"/>
        <w:rPr>
          <w:rFonts w:ascii="Times New Roman" w:hAnsi="Times New Roman"/>
          <w:sz w:val="24"/>
          <w:szCs w:val="24"/>
        </w:rPr>
      </w:pPr>
    </w:p>
    <w:p w:rsidR="00860394" w:rsidRPr="00526BDB" w:rsidRDefault="00526BDB" w:rsidP="00860394">
      <w:pPr>
        <w:spacing w:after="0" w:line="360" w:lineRule="auto"/>
        <w:jc w:val="both"/>
        <w:rPr>
          <w:rFonts w:ascii="Times New Roman" w:hAnsi="Times New Roman"/>
          <w:b/>
          <w:i/>
          <w:sz w:val="24"/>
          <w:szCs w:val="24"/>
        </w:rPr>
      </w:pPr>
      <w:r w:rsidRPr="00526BDB">
        <w:rPr>
          <w:rFonts w:ascii="Times New Roman" w:hAnsi="Times New Roman"/>
          <w:b/>
          <w:i/>
          <w:sz w:val="24"/>
          <w:szCs w:val="24"/>
        </w:rPr>
        <w:t>Determinación de fosfatos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Para la determinación de la turbiedad se efectuaron los pasos que a continuación se detallan, aplicando el método de referencia APHA 4500-PE.</w:t>
      </w:r>
    </w:p>
    <w:p w:rsidR="00860394" w:rsidRPr="00526BDB"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526BDB">
        <w:rPr>
          <w:rFonts w:ascii="Times New Roman" w:hAnsi="Times New Roman"/>
          <w:sz w:val="24"/>
          <w:szCs w:val="24"/>
        </w:rPr>
        <w:t>Encender el reactor de DQO (Demanda química de oxígeno). Calentar a150°C. Colocar el escudo plástico adelante del reactor.</w:t>
      </w:r>
    </w:p>
    <w:p w:rsidR="00860394" w:rsidRPr="00526BDB"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526BDB">
        <w:rPr>
          <w:rFonts w:ascii="Times New Roman" w:hAnsi="Times New Roman"/>
          <w:sz w:val="24"/>
          <w:szCs w:val="24"/>
        </w:rPr>
        <w:t xml:space="preserve">Ingresar el número de programa almacenado por el usuario para fósforo reactivo, Test 'N Tube.Presionar:535 ENTER En la pantalla se leerá: Fijar </w:t>
      </w:r>
      <w:proofErr w:type="spellStart"/>
      <w:r w:rsidRPr="00526BDB">
        <w:rPr>
          <w:rFonts w:ascii="Times New Roman" w:hAnsi="Times New Roman"/>
          <w:sz w:val="24"/>
          <w:szCs w:val="24"/>
        </w:rPr>
        <w:t>nm</w:t>
      </w:r>
      <w:proofErr w:type="spellEnd"/>
      <w:r w:rsidRPr="00526BDB">
        <w:rPr>
          <w:rFonts w:ascii="Times New Roman" w:hAnsi="Times New Roman"/>
          <w:sz w:val="24"/>
          <w:szCs w:val="24"/>
        </w:rPr>
        <w:t xml:space="preserve"> par 890.</w:t>
      </w:r>
    </w:p>
    <w:p w:rsidR="00860394" w:rsidRPr="00526BDB"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526BDB">
        <w:rPr>
          <w:rFonts w:ascii="Times New Roman" w:hAnsi="Times New Roman"/>
          <w:sz w:val="24"/>
          <w:szCs w:val="24"/>
        </w:rPr>
        <w:t xml:space="preserve">Girar el cuadrante de la longitud de onda hasta que la pantalla pequeña muestre: 890 </w:t>
      </w:r>
      <w:proofErr w:type="spellStart"/>
      <w:r w:rsidRPr="00526BDB">
        <w:rPr>
          <w:rFonts w:ascii="Times New Roman" w:hAnsi="Times New Roman"/>
          <w:sz w:val="24"/>
          <w:szCs w:val="24"/>
        </w:rPr>
        <w:t>nm</w:t>
      </w:r>
      <w:proofErr w:type="spellEnd"/>
      <w:r w:rsidRPr="00526BDB">
        <w:rPr>
          <w:rFonts w:ascii="Times New Roman" w:hAnsi="Times New Roman"/>
          <w:sz w:val="24"/>
          <w:szCs w:val="24"/>
        </w:rPr>
        <w:t xml:space="preserve"> Cuando se ajuste la longitud de onda correcta, en la pantalla aparecerá rápidamente: Muestra cero luego: mg/L PO43–TNT.</w:t>
      </w:r>
    </w:p>
    <w:p w:rsidR="00860394" w:rsidRPr="00526BDB"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526BDB">
        <w:rPr>
          <w:rFonts w:ascii="Times New Roman" w:hAnsi="Times New Roman"/>
          <w:sz w:val="24"/>
          <w:szCs w:val="24"/>
        </w:rPr>
        <w:t xml:space="preserve">Utilizar una pipeta Ten </w:t>
      </w:r>
      <w:proofErr w:type="spellStart"/>
      <w:r w:rsidRPr="00526BDB">
        <w:rPr>
          <w:rFonts w:ascii="Times New Roman" w:hAnsi="Times New Roman"/>
          <w:sz w:val="24"/>
          <w:szCs w:val="24"/>
        </w:rPr>
        <w:t>Sette</w:t>
      </w:r>
      <w:proofErr w:type="spellEnd"/>
      <w:r w:rsidRPr="00526BDB">
        <w:rPr>
          <w:rFonts w:ascii="Times New Roman" w:hAnsi="Times New Roman"/>
          <w:sz w:val="24"/>
          <w:szCs w:val="24"/>
        </w:rPr>
        <w:t xml:space="preserve"> para agregar 5,0 ml de muestra a un tubo para fósforo total e hidrolizable con ácido. </w:t>
      </w:r>
    </w:p>
    <w:p w:rsidR="00860394" w:rsidRPr="00526BDB"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526BDB">
        <w:rPr>
          <w:rFonts w:ascii="Times New Roman" w:hAnsi="Times New Roman"/>
          <w:sz w:val="24"/>
          <w:szCs w:val="24"/>
        </w:rPr>
        <w:t xml:space="preserve">Con un embudo, agregar el contenido de una bolsa de polvo de </w:t>
      </w:r>
      <w:proofErr w:type="spellStart"/>
      <w:r w:rsidRPr="00526BDB">
        <w:rPr>
          <w:rFonts w:ascii="Times New Roman" w:hAnsi="Times New Roman"/>
          <w:sz w:val="24"/>
          <w:szCs w:val="24"/>
        </w:rPr>
        <w:t>persulfato</w:t>
      </w:r>
      <w:proofErr w:type="spellEnd"/>
      <w:r w:rsidRPr="00526BDB">
        <w:rPr>
          <w:rFonts w:ascii="Times New Roman" w:hAnsi="Times New Roman"/>
          <w:sz w:val="24"/>
          <w:szCs w:val="24"/>
        </w:rPr>
        <w:t xml:space="preserve"> de potasio para fosfato al tubo.</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Tapar herméticamente y agitar para disolver.</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Calentar el tubo durante 30 minutos a 150°C.</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Retirar cuidadosamente el tubo del reactor. Colocarlo en un soporte para tubos de ensayo y dejar enfriar a temperatura ambiente.</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 xml:space="preserve">Utilizar una pipeta Ten </w:t>
      </w:r>
      <w:proofErr w:type="spellStart"/>
      <w:r w:rsidRPr="00860394">
        <w:rPr>
          <w:rFonts w:ascii="Times New Roman" w:hAnsi="Times New Roman"/>
          <w:sz w:val="24"/>
          <w:szCs w:val="24"/>
        </w:rPr>
        <w:t>Sette</w:t>
      </w:r>
      <w:proofErr w:type="spellEnd"/>
      <w:r w:rsidRPr="00860394">
        <w:rPr>
          <w:rFonts w:ascii="Times New Roman" w:hAnsi="Times New Roman"/>
          <w:sz w:val="24"/>
          <w:szCs w:val="24"/>
        </w:rPr>
        <w:t xml:space="preserve"> para agregar 2 ml de hidróxido de sodio 1,54 N al tubo. Tapar y mezclar.</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Colocar el adaptador de DQO en el soporte de la celda con el indicador a la derecha.</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 xml:space="preserve">Limpiar el exterior del tubo con una toalla. </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 xml:space="preserve">Colocar el tubo de muestreo en el adaptador con el logotipo de </w:t>
      </w:r>
      <w:proofErr w:type="spellStart"/>
      <w:r w:rsidRPr="00860394">
        <w:rPr>
          <w:rFonts w:ascii="Times New Roman" w:hAnsi="Times New Roman"/>
          <w:sz w:val="24"/>
          <w:szCs w:val="24"/>
        </w:rPr>
        <w:t>Hach</w:t>
      </w:r>
      <w:proofErr w:type="spellEnd"/>
      <w:r w:rsidRPr="00860394">
        <w:rPr>
          <w:rFonts w:ascii="Times New Roman" w:hAnsi="Times New Roman"/>
          <w:sz w:val="24"/>
          <w:szCs w:val="24"/>
        </w:rPr>
        <w:t xml:space="preserve"> de cara al frente del instrumento. Colocar la tapa en el adaptador.</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 xml:space="preserve">Presionar ZERO en la pantalla se leerá: Puesta a cero luego: 0.00 mg/L PO4 3–TNT Con un embudo, agregar los contenidos de una bolsa de polvo de reactivo de fosfato </w:t>
      </w:r>
      <w:proofErr w:type="spellStart"/>
      <w:r w:rsidRPr="00860394">
        <w:rPr>
          <w:rFonts w:ascii="Times New Roman" w:hAnsi="Times New Roman"/>
          <w:sz w:val="24"/>
          <w:szCs w:val="24"/>
        </w:rPr>
        <w:t>Phos</w:t>
      </w:r>
      <w:proofErr w:type="spellEnd"/>
      <w:r w:rsidRPr="00860394">
        <w:rPr>
          <w:rFonts w:ascii="Times New Roman" w:hAnsi="Times New Roman"/>
          <w:sz w:val="24"/>
          <w:szCs w:val="24"/>
        </w:rPr>
        <w:t xml:space="preserve"> y ver 3 en el tubo.</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Tapar herméticamente y agitar durante 10 a 15 segundos.</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Presionar: SHIFT TIMER. Comenzará un período de espera de 2 minutos.</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Cuando suene el cronómetro, limpiar el exterior del tubo de muestreo con una toalla.</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 xml:space="preserve">Colocar el tubo de muestreo preparado en el adaptador con el logo de </w:t>
      </w:r>
      <w:proofErr w:type="spellStart"/>
      <w:r w:rsidRPr="00860394">
        <w:rPr>
          <w:rFonts w:ascii="Times New Roman" w:hAnsi="Times New Roman"/>
          <w:sz w:val="24"/>
          <w:szCs w:val="24"/>
        </w:rPr>
        <w:t>Hach</w:t>
      </w:r>
      <w:proofErr w:type="spellEnd"/>
      <w:r w:rsidRPr="00860394">
        <w:rPr>
          <w:rFonts w:ascii="Times New Roman" w:hAnsi="Times New Roman"/>
          <w:sz w:val="24"/>
          <w:szCs w:val="24"/>
        </w:rPr>
        <w:t xml:space="preserve"> de cara al frente del instrumento. Tapar el adaptador.</w:t>
      </w:r>
    </w:p>
    <w:p w:rsidR="00860394" w:rsidRPr="00860394" w:rsidRDefault="00860394" w:rsidP="00526BDB">
      <w:pPr>
        <w:pStyle w:val="Prrafodelista"/>
        <w:numPr>
          <w:ilvl w:val="0"/>
          <w:numId w:val="31"/>
        </w:numPr>
        <w:spacing w:after="0" w:line="360" w:lineRule="auto"/>
        <w:ind w:left="567"/>
        <w:jc w:val="both"/>
        <w:rPr>
          <w:rFonts w:ascii="Times New Roman" w:hAnsi="Times New Roman"/>
          <w:sz w:val="24"/>
          <w:szCs w:val="24"/>
        </w:rPr>
      </w:pPr>
      <w:r w:rsidRPr="00860394">
        <w:rPr>
          <w:rFonts w:ascii="Times New Roman" w:hAnsi="Times New Roman"/>
          <w:sz w:val="24"/>
          <w:szCs w:val="24"/>
        </w:rPr>
        <w:tab/>
        <w:t>Presionar: READ, en la pantalla se leerá: Leyendo...luego en la pantalla aparecerán los resultados en mg/l de PO4 3.</w:t>
      </w:r>
    </w:p>
    <w:p w:rsidR="00526BDB" w:rsidRDefault="00526BDB"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i/>
          <w:sz w:val="24"/>
          <w:szCs w:val="24"/>
        </w:rPr>
      </w:pPr>
      <w:r w:rsidRPr="00526BDB">
        <w:rPr>
          <w:rFonts w:ascii="Times New Roman" w:hAnsi="Times New Roman"/>
          <w:b/>
          <w:i/>
          <w:sz w:val="24"/>
          <w:szCs w:val="24"/>
        </w:rPr>
        <w:t>Determinación de la dema</w:t>
      </w:r>
      <w:r w:rsidR="00526BDB">
        <w:rPr>
          <w:rFonts w:ascii="Times New Roman" w:hAnsi="Times New Roman"/>
          <w:b/>
          <w:i/>
          <w:sz w:val="24"/>
          <w:szCs w:val="24"/>
        </w:rPr>
        <w:t>nda bioquímica de oxígeno (DBO)</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La determinación de la demanda bioquímica de oxigeno (DBO), se llevó a efecto a través del procedimiento que a continuación se detalla. Se aplicó el método de referencia APHA 5210D.</w:t>
      </w:r>
    </w:p>
    <w:p w:rsidR="00860394" w:rsidRPr="00526BDB" w:rsidRDefault="00860394" w:rsidP="00526BDB">
      <w:pPr>
        <w:pStyle w:val="Prrafodelista"/>
        <w:numPr>
          <w:ilvl w:val="0"/>
          <w:numId w:val="32"/>
        </w:numPr>
        <w:spacing w:after="0" w:line="360" w:lineRule="auto"/>
        <w:jc w:val="both"/>
        <w:rPr>
          <w:rFonts w:ascii="Times New Roman" w:hAnsi="Times New Roman"/>
          <w:sz w:val="24"/>
          <w:szCs w:val="24"/>
        </w:rPr>
      </w:pPr>
      <w:r w:rsidRPr="00526BDB">
        <w:rPr>
          <w:rFonts w:ascii="Times New Roman" w:hAnsi="Times New Roman"/>
          <w:sz w:val="24"/>
          <w:szCs w:val="24"/>
        </w:rPr>
        <w:t>Preparar el agua para diluir la muestra utilizando una bolsa de solución tampón de nutriente de DBO.</w:t>
      </w:r>
    </w:p>
    <w:p w:rsidR="00860394" w:rsidRPr="00526BDB" w:rsidRDefault="00860394" w:rsidP="00526BDB">
      <w:pPr>
        <w:pStyle w:val="Prrafodelista"/>
        <w:numPr>
          <w:ilvl w:val="0"/>
          <w:numId w:val="32"/>
        </w:numPr>
        <w:spacing w:after="0" w:line="360" w:lineRule="auto"/>
        <w:jc w:val="both"/>
        <w:rPr>
          <w:rFonts w:ascii="Times New Roman" w:hAnsi="Times New Roman"/>
          <w:sz w:val="24"/>
          <w:szCs w:val="24"/>
        </w:rPr>
      </w:pPr>
      <w:r w:rsidRPr="00526BDB">
        <w:rPr>
          <w:rFonts w:ascii="Times New Roman" w:hAnsi="Times New Roman"/>
          <w:sz w:val="24"/>
          <w:szCs w:val="24"/>
        </w:rPr>
        <w:t xml:space="preserve">Determinar el rango de los volúmenes de las muestras requeridos por la muestra. </w:t>
      </w:r>
    </w:p>
    <w:p w:rsidR="00860394" w:rsidRPr="00526BDB" w:rsidRDefault="00860394" w:rsidP="00526BDB">
      <w:pPr>
        <w:pStyle w:val="Prrafodelista"/>
        <w:numPr>
          <w:ilvl w:val="0"/>
          <w:numId w:val="32"/>
        </w:numPr>
        <w:spacing w:after="0" w:line="360" w:lineRule="auto"/>
        <w:jc w:val="both"/>
        <w:rPr>
          <w:rFonts w:ascii="Times New Roman" w:hAnsi="Times New Roman"/>
          <w:sz w:val="24"/>
          <w:szCs w:val="24"/>
        </w:rPr>
      </w:pPr>
      <w:r w:rsidRPr="00526BDB">
        <w:rPr>
          <w:rFonts w:ascii="Times New Roman" w:hAnsi="Times New Roman"/>
          <w:sz w:val="24"/>
          <w:szCs w:val="24"/>
        </w:rPr>
        <w:t xml:space="preserve">Medir con una pipeta serológica una serie graduada de por lo menos cuatro cm, pero preferentemente cinco o seis porciones de muestra bien mezclada y transferirlas a botellas separadas de DBO de 300 ml y con tapón de vidrio. Agitar la muestra con la pipeta antes de colocar con la pipeta cada porción. </w:t>
      </w:r>
    </w:p>
    <w:p w:rsidR="00860394" w:rsidRPr="00526BDB" w:rsidRDefault="00860394" w:rsidP="00526BDB">
      <w:pPr>
        <w:pStyle w:val="Prrafodelista"/>
        <w:numPr>
          <w:ilvl w:val="0"/>
          <w:numId w:val="32"/>
        </w:numPr>
        <w:spacing w:after="0" w:line="360" w:lineRule="auto"/>
        <w:jc w:val="both"/>
        <w:rPr>
          <w:rFonts w:ascii="Times New Roman" w:hAnsi="Times New Roman"/>
          <w:sz w:val="24"/>
          <w:szCs w:val="24"/>
        </w:rPr>
      </w:pPr>
      <w:r w:rsidRPr="00526BDB">
        <w:rPr>
          <w:rFonts w:ascii="Times New Roman" w:hAnsi="Times New Roman"/>
          <w:sz w:val="24"/>
          <w:szCs w:val="24"/>
        </w:rPr>
        <w:t>Agregar dos chorros de inhibidor de nitrificación (aproximadamente 0,16 g) a cada botella, si se desea.</w:t>
      </w:r>
    </w:p>
    <w:p w:rsidR="00860394" w:rsidRPr="00526BDB" w:rsidRDefault="00860394" w:rsidP="00526BDB">
      <w:pPr>
        <w:pStyle w:val="Prrafodelista"/>
        <w:numPr>
          <w:ilvl w:val="0"/>
          <w:numId w:val="32"/>
        </w:numPr>
        <w:spacing w:after="0" w:line="360" w:lineRule="auto"/>
        <w:jc w:val="both"/>
        <w:rPr>
          <w:rFonts w:ascii="Times New Roman" w:hAnsi="Times New Roman"/>
          <w:sz w:val="24"/>
          <w:szCs w:val="24"/>
        </w:rPr>
      </w:pPr>
      <w:r w:rsidRPr="00526BDB">
        <w:rPr>
          <w:rFonts w:ascii="Times New Roman" w:hAnsi="Times New Roman"/>
          <w:sz w:val="24"/>
          <w:szCs w:val="24"/>
        </w:rPr>
        <w:t>Llenar cada botella exactamente hasta el pico con agua de dilución sembrada o sin sembrar. Al agregar el agua, dejar que la misma caiga lentamente por los lados de la botella para evitar la formación de burbujas.</w:t>
      </w:r>
    </w:p>
    <w:p w:rsidR="00860394" w:rsidRPr="00526BDB" w:rsidRDefault="00860394" w:rsidP="00526BDB">
      <w:pPr>
        <w:pStyle w:val="Prrafodelista"/>
        <w:numPr>
          <w:ilvl w:val="0"/>
          <w:numId w:val="32"/>
        </w:numPr>
        <w:spacing w:after="0" w:line="360" w:lineRule="auto"/>
        <w:jc w:val="both"/>
        <w:rPr>
          <w:rFonts w:ascii="Times New Roman" w:hAnsi="Times New Roman"/>
          <w:sz w:val="24"/>
          <w:szCs w:val="24"/>
        </w:rPr>
      </w:pPr>
      <w:r w:rsidRPr="00526BDB">
        <w:rPr>
          <w:rFonts w:ascii="Times New Roman" w:hAnsi="Times New Roman"/>
          <w:sz w:val="24"/>
          <w:szCs w:val="24"/>
        </w:rPr>
        <w:t>Tapar la botella cuidando de no atrapar ninguna burbuja de aire. Apretar el tapón de la botella con el dedo, luego invertir la botella varias veces para que se mezcle.</w:t>
      </w:r>
    </w:p>
    <w:p w:rsidR="00860394" w:rsidRPr="00526BDB" w:rsidRDefault="00860394" w:rsidP="00526BDB">
      <w:pPr>
        <w:pStyle w:val="Prrafodelista"/>
        <w:numPr>
          <w:ilvl w:val="0"/>
          <w:numId w:val="32"/>
        </w:numPr>
        <w:spacing w:after="0" w:line="360" w:lineRule="auto"/>
        <w:jc w:val="both"/>
        <w:rPr>
          <w:rFonts w:ascii="Times New Roman" w:hAnsi="Times New Roman"/>
          <w:sz w:val="24"/>
          <w:szCs w:val="24"/>
        </w:rPr>
      </w:pPr>
      <w:r w:rsidRPr="00526BDB">
        <w:rPr>
          <w:rFonts w:ascii="Times New Roman" w:hAnsi="Times New Roman"/>
          <w:sz w:val="24"/>
          <w:szCs w:val="24"/>
        </w:rPr>
        <w:t>Agregar al pico de la botella DBO agua de dilución suficiente para formar un sello de agua.</w:t>
      </w:r>
    </w:p>
    <w:p w:rsidR="00860394" w:rsidRPr="00526BDB" w:rsidRDefault="00860394" w:rsidP="00526BDB">
      <w:pPr>
        <w:pStyle w:val="Prrafodelista"/>
        <w:numPr>
          <w:ilvl w:val="0"/>
          <w:numId w:val="32"/>
        </w:numPr>
        <w:spacing w:after="0" w:line="360" w:lineRule="auto"/>
        <w:jc w:val="both"/>
        <w:rPr>
          <w:rFonts w:ascii="Times New Roman" w:hAnsi="Times New Roman"/>
          <w:sz w:val="24"/>
          <w:szCs w:val="24"/>
        </w:rPr>
      </w:pPr>
      <w:r w:rsidRPr="00526BDB">
        <w:rPr>
          <w:rFonts w:ascii="Times New Roman" w:hAnsi="Times New Roman"/>
          <w:sz w:val="24"/>
          <w:szCs w:val="24"/>
        </w:rPr>
        <w:t>Colocar una tapa de plástico en el pico de cada botella y colocar las botellas en una incubadora a 20 ± 1°C. Incubar en la oscuridad durante cinco días.</w:t>
      </w:r>
    </w:p>
    <w:p w:rsidR="00860394" w:rsidRPr="00526BDB" w:rsidRDefault="00860394" w:rsidP="00526BDB">
      <w:pPr>
        <w:pStyle w:val="Prrafodelista"/>
        <w:numPr>
          <w:ilvl w:val="0"/>
          <w:numId w:val="32"/>
        </w:numPr>
        <w:spacing w:after="0" w:line="360" w:lineRule="auto"/>
        <w:jc w:val="both"/>
        <w:rPr>
          <w:rFonts w:ascii="Times New Roman" w:hAnsi="Times New Roman"/>
          <w:sz w:val="24"/>
          <w:szCs w:val="24"/>
        </w:rPr>
      </w:pPr>
      <w:r w:rsidRPr="00526BDB">
        <w:rPr>
          <w:rFonts w:ascii="Times New Roman" w:hAnsi="Times New Roman"/>
          <w:sz w:val="24"/>
          <w:szCs w:val="24"/>
        </w:rPr>
        <w:t>Cuando se haya completado el período de incubación, determinar el contenido de oxígeno disuelto (mg/l de OD restante) en cada botella. Nota: Este procedimiento ha sido aprobado por la EPA (Agencia para la protección del ambiente).</w:t>
      </w:r>
    </w:p>
    <w:p w:rsidR="00526BDB" w:rsidRDefault="00526BDB"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i/>
          <w:sz w:val="24"/>
          <w:szCs w:val="24"/>
        </w:rPr>
      </w:pPr>
      <w:r w:rsidRPr="00526BDB">
        <w:rPr>
          <w:rFonts w:ascii="Times New Roman" w:hAnsi="Times New Roman"/>
          <w:b/>
          <w:i/>
          <w:sz w:val="24"/>
          <w:szCs w:val="24"/>
        </w:rPr>
        <w:t>Determinación de</w:t>
      </w:r>
      <w:r w:rsidR="00526BDB">
        <w:rPr>
          <w:rFonts w:ascii="Times New Roman" w:hAnsi="Times New Roman"/>
          <w:b/>
          <w:i/>
          <w:sz w:val="24"/>
          <w:szCs w:val="24"/>
        </w:rPr>
        <w:t xml:space="preserve"> los sólidos totales disueltos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La medición de los sólidos totales disueltos, se la realizó en situ, utilizando un equipo </w:t>
      </w:r>
      <w:proofErr w:type="spellStart"/>
      <w:r w:rsidRPr="00860394">
        <w:rPr>
          <w:rFonts w:ascii="Times New Roman" w:hAnsi="Times New Roman"/>
          <w:sz w:val="24"/>
          <w:szCs w:val="24"/>
        </w:rPr>
        <w:t>multiparámetro</w:t>
      </w:r>
      <w:proofErr w:type="spellEnd"/>
      <w:r w:rsidRPr="00860394">
        <w:rPr>
          <w:rFonts w:ascii="Times New Roman" w:hAnsi="Times New Roman"/>
          <w:sz w:val="24"/>
          <w:szCs w:val="24"/>
        </w:rPr>
        <w:t>, basados en el método de referencia (</w:t>
      </w:r>
      <w:proofErr w:type="spellStart"/>
      <w:r w:rsidRPr="00860394">
        <w:rPr>
          <w:rFonts w:ascii="Times New Roman" w:hAnsi="Times New Roman"/>
          <w:sz w:val="24"/>
          <w:szCs w:val="24"/>
        </w:rPr>
        <w:t>conductivímetro</w:t>
      </w:r>
      <w:proofErr w:type="spellEnd"/>
      <w:r w:rsidRPr="00860394">
        <w:rPr>
          <w:rFonts w:ascii="Times New Roman" w:hAnsi="Times New Roman"/>
          <w:sz w:val="24"/>
          <w:szCs w:val="24"/>
        </w:rPr>
        <w:t>) APHA JF-AF-04, siguiendo los siguientes pasos:</w:t>
      </w:r>
    </w:p>
    <w:p w:rsidR="00860394" w:rsidRPr="00526BDB" w:rsidRDefault="00860394" w:rsidP="00526BDB">
      <w:pPr>
        <w:pStyle w:val="Prrafodelista"/>
        <w:numPr>
          <w:ilvl w:val="0"/>
          <w:numId w:val="33"/>
        </w:numPr>
        <w:spacing w:after="0" w:line="360" w:lineRule="auto"/>
        <w:jc w:val="both"/>
        <w:rPr>
          <w:rFonts w:ascii="Times New Roman" w:hAnsi="Times New Roman"/>
          <w:sz w:val="24"/>
          <w:szCs w:val="24"/>
        </w:rPr>
      </w:pPr>
      <w:r w:rsidRPr="00526BDB">
        <w:rPr>
          <w:rFonts w:ascii="Times New Roman" w:hAnsi="Times New Roman"/>
          <w:sz w:val="24"/>
          <w:szCs w:val="24"/>
        </w:rPr>
        <w:t>Enjuague la celda con la solución de KCI estándar y ajuste el equipo al valor de 1412 de acuerdo con las instrucciones del fabricante.</w:t>
      </w:r>
    </w:p>
    <w:p w:rsidR="00860394" w:rsidRPr="00526BDB" w:rsidRDefault="00860394" w:rsidP="00526BDB">
      <w:pPr>
        <w:pStyle w:val="Prrafodelista"/>
        <w:numPr>
          <w:ilvl w:val="0"/>
          <w:numId w:val="33"/>
        </w:numPr>
        <w:spacing w:after="0" w:line="360" w:lineRule="auto"/>
        <w:jc w:val="both"/>
        <w:rPr>
          <w:rFonts w:ascii="Times New Roman" w:hAnsi="Times New Roman"/>
          <w:sz w:val="24"/>
          <w:szCs w:val="24"/>
        </w:rPr>
      </w:pPr>
      <w:r w:rsidRPr="00526BDB">
        <w:rPr>
          <w:rFonts w:ascii="Times New Roman" w:hAnsi="Times New Roman"/>
          <w:sz w:val="24"/>
          <w:szCs w:val="24"/>
        </w:rPr>
        <w:t xml:space="preserve">Enjuague la celda con varias porciones de la muestra, pase la muestra a un </w:t>
      </w:r>
      <w:proofErr w:type="spellStart"/>
      <w:r w:rsidRPr="00526BDB">
        <w:rPr>
          <w:rFonts w:ascii="Times New Roman" w:hAnsi="Times New Roman"/>
          <w:sz w:val="24"/>
          <w:szCs w:val="24"/>
        </w:rPr>
        <w:t>beaker</w:t>
      </w:r>
      <w:proofErr w:type="spellEnd"/>
      <w:r w:rsidRPr="00526BDB">
        <w:rPr>
          <w:rFonts w:ascii="Times New Roman" w:hAnsi="Times New Roman"/>
          <w:sz w:val="24"/>
          <w:szCs w:val="24"/>
        </w:rPr>
        <w:t xml:space="preserve">, ajuste la temperatura de la muestra a 25°C e introduzca la celda en la muestra. </w:t>
      </w:r>
    </w:p>
    <w:p w:rsidR="00860394" w:rsidRPr="00526BDB" w:rsidRDefault="00860394" w:rsidP="00526BDB">
      <w:pPr>
        <w:pStyle w:val="Prrafodelista"/>
        <w:numPr>
          <w:ilvl w:val="0"/>
          <w:numId w:val="33"/>
        </w:numPr>
        <w:spacing w:after="0" w:line="360" w:lineRule="auto"/>
        <w:jc w:val="both"/>
        <w:rPr>
          <w:rFonts w:ascii="Times New Roman" w:hAnsi="Times New Roman"/>
          <w:sz w:val="24"/>
          <w:szCs w:val="24"/>
        </w:rPr>
      </w:pPr>
      <w:r w:rsidRPr="00526BDB">
        <w:rPr>
          <w:rFonts w:ascii="Times New Roman" w:hAnsi="Times New Roman"/>
          <w:sz w:val="24"/>
          <w:szCs w:val="24"/>
        </w:rPr>
        <w:t>Tome la lectura directamente del equipo.</w:t>
      </w:r>
    </w:p>
    <w:p w:rsidR="00860394" w:rsidRPr="00860394" w:rsidRDefault="00860394"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i/>
          <w:sz w:val="24"/>
          <w:szCs w:val="24"/>
        </w:rPr>
      </w:pPr>
      <w:r w:rsidRPr="00526BDB">
        <w:rPr>
          <w:rFonts w:ascii="Times New Roman" w:hAnsi="Times New Roman"/>
          <w:b/>
          <w:i/>
          <w:sz w:val="24"/>
          <w:szCs w:val="24"/>
        </w:rPr>
        <w:t>Det</w:t>
      </w:r>
      <w:r w:rsidR="00526BDB">
        <w:rPr>
          <w:rFonts w:ascii="Times New Roman" w:hAnsi="Times New Roman"/>
          <w:b/>
          <w:i/>
          <w:sz w:val="24"/>
          <w:szCs w:val="24"/>
        </w:rPr>
        <w:t>erminación del oxígeno disuelto</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La medición del oxígeno disuelto, se la realizó en situ, utilizando un equipo </w:t>
      </w:r>
      <w:proofErr w:type="spellStart"/>
      <w:r w:rsidRPr="00860394">
        <w:rPr>
          <w:rFonts w:ascii="Times New Roman" w:hAnsi="Times New Roman"/>
          <w:sz w:val="24"/>
          <w:szCs w:val="24"/>
        </w:rPr>
        <w:t>multiparámetro</w:t>
      </w:r>
      <w:proofErr w:type="spellEnd"/>
      <w:r w:rsidRPr="00860394">
        <w:rPr>
          <w:rFonts w:ascii="Times New Roman" w:hAnsi="Times New Roman"/>
          <w:sz w:val="24"/>
          <w:szCs w:val="24"/>
        </w:rPr>
        <w:t>, basados en el método electrométrico, de referencia APHA 4500-OG.</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Posterior a la calibración del instrumento proceder a hacer la medición de la(s) muestra(s) siguiendo el procedimiento descrito a continuación:</w:t>
      </w:r>
    </w:p>
    <w:p w:rsidR="00860394" w:rsidRPr="00526BDB" w:rsidRDefault="00860394" w:rsidP="00526BDB">
      <w:pPr>
        <w:pStyle w:val="Prrafodelista"/>
        <w:numPr>
          <w:ilvl w:val="0"/>
          <w:numId w:val="34"/>
        </w:numPr>
        <w:spacing w:after="0" w:line="360" w:lineRule="auto"/>
        <w:jc w:val="both"/>
        <w:rPr>
          <w:rFonts w:ascii="Times New Roman" w:hAnsi="Times New Roman"/>
          <w:sz w:val="24"/>
          <w:szCs w:val="24"/>
        </w:rPr>
      </w:pPr>
      <w:r w:rsidRPr="00526BDB">
        <w:rPr>
          <w:rFonts w:ascii="Times New Roman" w:hAnsi="Times New Roman"/>
          <w:sz w:val="24"/>
          <w:szCs w:val="24"/>
        </w:rPr>
        <w:t>Se calibra el equipo.</w:t>
      </w:r>
    </w:p>
    <w:p w:rsidR="00860394" w:rsidRPr="00526BDB" w:rsidRDefault="00860394" w:rsidP="00526BDB">
      <w:pPr>
        <w:pStyle w:val="Prrafodelista"/>
        <w:numPr>
          <w:ilvl w:val="0"/>
          <w:numId w:val="34"/>
        </w:numPr>
        <w:spacing w:after="0" w:line="360" w:lineRule="auto"/>
        <w:jc w:val="both"/>
        <w:rPr>
          <w:rFonts w:ascii="Times New Roman" w:hAnsi="Times New Roman"/>
          <w:sz w:val="24"/>
          <w:szCs w:val="24"/>
        </w:rPr>
      </w:pPr>
      <w:r w:rsidRPr="00526BDB">
        <w:rPr>
          <w:rFonts w:ascii="Times New Roman" w:hAnsi="Times New Roman"/>
          <w:sz w:val="24"/>
          <w:szCs w:val="24"/>
        </w:rPr>
        <w:t>Introducir el electrodo previamente lavado con agua a la muestra.</w:t>
      </w:r>
    </w:p>
    <w:p w:rsidR="00860394" w:rsidRPr="00526BDB" w:rsidRDefault="00860394" w:rsidP="00526BDB">
      <w:pPr>
        <w:pStyle w:val="Prrafodelista"/>
        <w:numPr>
          <w:ilvl w:val="0"/>
          <w:numId w:val="34"/>
        </w:numPr>
        <w:spacing w:after="0" w:line="360" w:lineRule="auto"/>
        <w:jc w:val="both"/>
        <w:rPr>
          <w:rFonts w:ascii="Times New Roman" w:hAnsi="Times New Roman"/>
          <w:sz w:val="24"/>
          <w:szCs w:val="24"/>
        </w:rPr>
      </w:pPr>
      <w:r w:rsidRPr="00526BDB">
        <w:rPr>
          <w:rFonts w:ascii="Times New Roman" w:hAnsi="Times New Roman"/>
          <w:sz w:val="24"/>
          <w:szCs w:val="24"/>
        </w:rPr>
        <w:t>Agitar uniformemente y leer directamente del instrumento la concentración de oxígeno.</w:t>
      </w:r>
    </w:p>
    <w:p w:rsidR="00526BDB" w:rsidRDefault="00526BDB"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sz w:val="26"/>
          <w:szCs w:val="26"/>
        </w:rPr>
      </w:pPr>
      <w:r w:rsidRPr="00526BDB">
        <w:rPr>
          <w:rFonts w:ascii="Times New Roman" w:hAnsi="Times New Roman"/>
          <w:b/>
          <w:sz w:val="26"/>
          <w:szCs w:val="26"/>
        </w:rPr>
        <w:t>Resultados</w:t>
      </w: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Una vez analizados los parámetros de las muestras de agua recogidas in situ y procesadas en el laboratorio</w:t>
      </w:r>
      <w:proofErr w:type="gramStart"/>
      <w:r w:rsidRPr="00860394">
        <w:rPr>
          <w:rFonts w:ascii="Times New Roman" w:hAnsi="Times New Roman"/>
          <w:sz w:val="24"/>
          <w:szCs w:val="24"/>
        </w:rPr>
        <w:t>,  se</w:t>
      </w:r>
      <w:proofErr w:type="gramEnd"/>
      <w:r w:rsidRPr="00860394">
        <w:rPr>
          <w:rFonts w:ascii="Times New Roman" w:hAnsi="Times New Roman"/>
          <w:sz w:val="24"/>
          <w:szCs w:val="24"/>
        </w:rPr>
        <w:t xml:space="preserve"> calculó el ICA-NSF aplicando la ecuación 1. Los resultados obtenidos de la concentración de los nueve parámetros ICA-NSF, en los tres puntos de muestreo (P1, P2, P3) de la cuenca media del Río Portoviejo se evidencian en la siguiente tabla de datos. (Ver tabla 5).</w:t>
      </w:r>
    </w:p>
    <w:p w:rsidR="00526BDB" w:rsidRDefault="00526BDB" w:rsidP="00860394">
      <w:pPr>
        <w:spacing w:after="0" w:line="360" w:lineRule="auto"/>
        <w:jc w:val="both"/>
        <w:rPr>
          <w:rFonts w:ascii="Times New Roman" w:hAnsi="Times New Roman"/>
          <w:sz w:val="24"/>
          <w:szCs w:val="24"/>
        </w:rPr>
      </w:pPr>
    </w:p>
    <w:p w:rsidR="00526BDB" w:rsidRPr="00860394" w:rsidRDefault="00526BDB" w:rsidP="00860394">
      <w:pPr>
        <w:spacing w:after="0" w:line="360" w:lineRule="auto"/>
        <w:jc w:val="both"/>
        <w:rPr>
          <w:rFonts w:ascii="Times New Roman" w:hAnsi="Times New Roman"/>
          <w:sz w:val="24"/>
          <w:szCs w:val="24"/>
        </w:rPr>
      </w:pPr>
    </w:p>
    <w:p w:rsidR="00860394" w:rsidRPr="00526BDB" w:rsidRDefault="00860394" w:rsidP="00526BDB">
      <w:pPr>
        <w:spacing w:after="0" w:line="240" w:lineRule="auto"/>
        <w:jc w:val="center"/>
        <w:rPr>
          <w:rFonts w:ascii="Times New Roman" w:hAnsi="Times New Roman"/>
          <w:sz w:val="20"/>
          <w:szCs w:val="20"/>
        </w:rPr>
      </w:pPr>
      <w:r w:rsidRPr="00526BDB">
        <w:rPr>
          <w:rFonts w:ascii="Times New Roman" w:hAnsi="Times New Roman"/>
          <w:b/>
          <w:sz w:val="20"/>
          <w:szCs w:val="20"/>
        </w:rPr>
        <w:t>Tabla 5</w:t>
      </w:r>
      <w:r w:rsidR="00526BDB" w:rsidRPr="00526BDB">
        <w:rPr>
          <w:rFonts w:ascii="Times New Roman" w:hAnsi="Times New Roman"/>
          <w:b/>
          <w:sz w:val="20"/>
          <w:szCs w:val="20"/>
        </w:rPr>
        <w:t>:</w:t>
      </w:r>
      <w:r w:rsidRPr="00526BDB">
        <w:rPr>
          <w:rFonts w:ascii="Times New Roman" w:hAnsi="Times New Roman"/>
          <w:sz w:val="20"/>
          <w:szCs w:val="20"/>
        </w:rPr>
        <w:t xml:space="preserve"> Valores de concentración de parámetros contemplados para la obtención del ICA</w:t>
      </w:r>
    </w:p>
    <w:tbl>
      <w:tblPr>
        <w:tblW w:w="10356" w:type="dxa"/>
        <w:jc w:val="center"/>
        <w:tblBorders>
          <w:top w:val="single" w:sz="8" w:space="0" w:color="000000"/>
          <w:bottom w:val="single" w:sz="8" w:space="0" w:color="000000"/>
        </w:tblBorders>
        <w:tblLayout w:type="fixed"/>
        <w:tblLook w:val="0400" w:firstRow="0" w:lastRow="0" w:firstColumn="0" w:lastColumn="0" w:noHBand="0" w:noVBand="1"/>
      </w:tblPr>
      <w:tblGrid>
        <w:gridCol w:w="609"/>
        <w:gridCol w:w="3258"/>
        <w:gridCol w:w="1441"/>
        <w:gridCol w:w="1253"/>
        <w:gridCol w:w="1362"/>
        <w:gridCol w:w="1406"/>
        <w:gridCol w:w="1027"/>
      </w:tblGrid>
      <w:tr w:rsidR="00526BDB" w:rsidRPr="00526BDB" w:rsidTr="00526BDB">
        <w:trPr>
          <w:trHeight w:val="69"/>
          <w:jc w:val="center"/>
        </w:trPr>
        <w:tc>
          <w:tcPr>
            <w:tcW w:w="3867" w:type="dxa"/>
            <w:gridSpan w:val="2"/>
            <w:tcBorders>
              <w:bottom w:val="single" w:sz="4" w:space="0" w:color="000000"/>
            </w:tcBorders>
          </w:tcPr>
          <w:p w:rsidR="00526BDB" w:rsidRPr="00526BDB" w:rsidRDefault="00526BDB" w:rsidP="00526BDB">
            <w:pPr>
              <w:spacing w:after="0" w:line="276" w:lineRule="auto"/>
              <w:jc w:val="center"/>
              <w:rPr>
                <w:rFonts w:ascii="Times New Roman" w:hAnsi="Times New Roman"/>
                <w:b/>
                <w:sz w:val="20"/>
                <w:szCs w:val="20"/>
              </w:rPr>
            </w:pPr>
            <w:r w:rsidRPr="00526BDB">
              <w:rPr>
                <w:rFonts w:ascii="Times New Roman" w:hAnsi="Times New Roman"/>
                <w:b/>
                <w:sz w:val="20"/>
                <w:szCs w:val="20"/>
              </w:rPr>
              <w:t>Parámetro</w:t>
            </w:r>
          </w:p>
        </w:tc>
        <w:tc>
          <w:tcPr>
            <w:tcW w:w="1441" w:type="dxa"/>
            <w:tcBorders>
              <w:bottom w:val="single" w:sz="4" w:space="0" w:color="000000"/>
            </w:tcBorders>
          </w:tcPr>
          <w:p w:rsidR="00526BDB" w:rsidRPr="00526BDB" w:rsidRDefault="00526BDB" w:rsidP="00526BDB">
            <w:pPr>
              <w:spacing w:after="0" w:line="276" w:lineRule="auto"/>
              <w:jc w:val="center"/>
              <w:rPr>
                <w:rFonts w:ascii="Times New Roman" w:hAnsi="Times New Roman"/>
                <w:b/>
                <w:sz w:val="20"/>
                <w:szCs w:val="20"/>
              </w:rPr>
            </w:pPr>
            <w:r w:rsidRPr="00526BDB">
              <w:rPr>
                <w:rFonts w:ascii="Times New Roman" w:hAnsi="Times New Roman"/>
                <w:b/>
                <w:sz w:val="20"/>
                <w:szCs w:val="20"/>
              </w:rPr>
              <w:t>Unidades</w:t>
            </w:r>
          </w:p>
        </w:tc>
        <w:tc>
          <w:tcPr>
            <w:tcW w:w="1253" w:type="dxa"/>
            <w:tcBorders>
              <w:bottom w:val="single" w:sz="4" w:space="0" w:color="000000"/>
            </w:tcBorders>
          </w:tcPr>
          <w:p w:rsidR="00526BDB" w:rsidRPr="00526BDB" w:rsidRDefault="00526BDB" w:rsidP="00526BDB">
            <w:pPr>
              <w:spacing w:after="0" w:line="276" w:lineRule="auto"/>
              <w:jc w:val="center"/>
              <w:rPr>
                <w:rFonts w:ascii="Times New Roman" w:hAnsi="Times New Roman"/>
                <w:b/>
                <w:sz w:val="20"/>
                <w:szCs w:val="20"/>
              </w:rPr>
            </w:pPr>
            <w:r w:rsidRPr="00526BDB">
              <w:rPr>
                <w:rFonts w:ascii="Times New Roman" w:hAnsi="Times New Roman"/>
                <w:b/>
                <w:sz w:val="20"/>
                <w:szCs w:val="20"/>
              </w:rPr>
              <w:t>Punto 1</w:t>
            </w:r>
          </w:p>
        </w:tc>
        <w:tc>
          <w:tcPr>
            <w:tcW w:w="1362" w:type="dxa"/>
            <w:tcBorders>
              <w:bottom w:val="single" w:sz="4" w:space="0" w:color="000000"/>
            </w:tcBorders>
          </w:tcPr>
          <w:p w:rsidR="00526BDB" w:rsidRPr="00526BDB" w:rsidRDefault="00526BDB" w:rsidP="00526BDB">
            <w:pPr>
              <w:spacing w:after="0" w:line="276" w:lineRule="auto"/>
              <w:jc w:val="center"/>
              <w:rPr>
                <w:rFonts w:ascii="Times New Roman" w:hAnsi="Times New Roman"/>
                <w:b/>
                <w:sz w:val="20"/>
                <w:szCs w:val="20"/>
              </w:rPr>
            </w:pPr>
            <w:r w:rsidRPr="00526BDB">
              <w:rPr>
                <w:rFonts w:ascii="Times New Roman" w:hAnsi="Times New Roman"/>
                <w:b/>
                <w:sz w:val="20"/>
                <w:szCs w:val="20"/>
              </w:rPr>
              <w:t>Punto 2</w:t>
            </w:r>
          </w:p>
        </w:tc>
        <w:tc>
          <w:tcPr>
            <w:tcW w:w="1406" w:type="dxa"/>
            <w:tcBorders>
              <w:bottom w:val="single" w:sz="4" w:space="0" w:color="000000"/>
            </w:tcBorders>
          </w:tcPr>
          <w:p w:rsidR="00526BDB" w:rsidRPr="00526BDB" w:rsidRDefault="00526BDB" w:rsidP="00526BDB">
            <w:pPr>
              <w:spacing w:after="0" w:line="276" w:lineRule="auto"/>
              <w:jc w:val="center"/>
              <w:rPr>
                <w:rFonts w:ascii="Times New Roman" w:hAnsi="Times New Roman"/>
                <w:b/>
                <w:sz w:val="20"/>
                <w:szCs w:val="20"/>
              </w:rPr>
            </w:pPr>
            <w:r w:rsidRPr="00526BDB">
              <w:rPr>
                <w:rFonts w:ascii="Times New Roman" w:hAnsi="Times New Roman"/>
                <w:b/>
                <w:sz w:val="20"/>
                <w:szCs w:val="20"/>
              </w:rPr>
              <w:t>Punto 3</w:t>
            </w:r>
          </w:p>
        </w:tc>
        <w:tc>
          <w:tcPr>
            <w:tcW w:w="1027" w:type="dxa"/>
            <w:tcBorders>
              <w:bottom w:val="single" w:sz="4" w:space="0" w:color="000000"/>
            </w:tcBorders>
          </w:tcPr>
          <w:p w:rsidR="00526BDB" w:rsidRPr="00526BDB" w:rsidRDefault="00526BDB" w:rsidP="00526BDB">
            <w:pPr>
              <w:spacing w:after="0" w:line="276" w:lineRule="auto"/>
              <w:jc w:val="center"/>
              <w:rPr>
                <w:rFonts w:ascii="Times New Roman" w:hAnsi="Times New Roman"/>
                <w:b/>
                <w:sz w:val="20"/>
                <w:szCs w:val="20"/>
              </w:rPr>
            </w:pPr>
            <w:proofErr w:type="spellStart"/>
            <w:r w:rsidRPr="00526BDB">
              <w:rPr>
                <w:rFonts w:ascii="Times New Roman" w:hAnsi="Times New Roman"/>
                <w:b/>
                <w:sz w:val="20"/>
                <w:szCs w:val="20"/>
              </w:rPr>
              <w:t>Wi</w:t>
            </w:r>
            <w:proofErr w:type="spellEnd"/>
          </w:p>
        </w:tc>
      </w:tr>
      <w:tr w:rsidR="00526BDB" w:rsidRPr="00526BDB" w:rsidTr="00526BDB">
        <w:trPr>
          <w:trHeight w:val="229"/>
          <w:jc w:val="center"/>
        </w:trPr>
        <w:tc>
          <w:tcPr>
            <w:tcW w:w="609" w:type="dxa"/>
            <w:tcBorders>
              <w:top w:val="single" w:sz="4" w:space="0" w:color="000000"/>
            </w:tcBorders>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1</w:t>
            </w:r>
          </w:p>
        </w:tc>
        <w:tc>
          <w:tcPr>
            <w:tcW w:w="3258" w:type="dxa"/>
            <w:tcBorders>
              <w:top w:val="single" w:sz="4" w:space="0" w:color="000000"/>
            </w:tcBorders>
          </w:tcPr>
          <w:p w:rsidR="00526BDB" w:rsidRPr="00526BDB" w:rsidRDefault="00526BDB" w:rsidP="00526BDB">
            <w:pPr>
              <w:spacing w:after="0" w:line="276" w:lineRule="auto"/>
              <w:jc w:val="center"/>
              <w:rPr>
                <w:rFonts w:ascii="Times New Roman" w:hAnsi="Times New Roman"/>
                <w:sz w:val="20"/>
                <w:szCs w:val="20"/>
              </w:rPr>
            </w:pPr>
            <w:proofErr w:type="spellStart"/>
            <w:r w:rsidRPr="00526BDB">
              <w:rPr>
                <w:rFonts w:ascii="Times New Roman" w:hAnsi="Times New Roman"/>
                <w:sz w:val="20"/>
                <w:szCs w:val="20"/>
              </w:rPr>
              <w:t>Coliformes</w:t>
            </w:r>
            <w:proofErr w:type="spellEnd"/>
            <w:r w:rsidRPr="00526BDB">
              <w:rPr>
                <w:rFonts w:ascii="Times New Roman" w:hAnsi="Times New Roman"/>
                <w:sz w:val="20"/>
                <w:szCs w:val="20"/>
              </w:rPr>
              <w:t xml:space="preserve"> fecales</w:t>
            </w:r>
          </w:p>
        </w:tc>
        <w:tc>
          <w:tcPr>
            <w:tcW w:w="1441" w:type="dxa"/>
            <w:tcBorders>
              <w:top w:val="single" w:sz="4" w:space="0" w:color="000000"/>
            </w:tcBorders>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NMP/100ml</w:t>
            </w:r>
          </w:p>
        </w:tc>
        <w:tc>
          <w:tcPr>
            <w:tcW w:w="1253" w:type="dxa"/>
            <w:tcBorders>
              <w:top w:val="single" w:sz="4" w:space="0" w:color="000000"/>
            </w:tcBorders>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4000,00</w:t>
            </w:r>
          </w:p>
        </w:tc>
        <w:tc>
          <w:tcPr>
            <w:tcW w:w="1362" w:type="dxa"/>
            <w:tcBorders>
              <w:top w:val="single" w:sz="4" w:space="0" w:color="000000"/>
            </w:tcBorders>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17000,00</w:t>
            </w:r>
          </w:p>
        </w:tc>
        <w:tc>
          <w:tcPr>
            <w:tcW w:w="1406" w:type="dxa"/>
            <w:tcBorders>
              <w:top w:val="single" w:sz="4" w:space="0" w:color="000000"/>
            </w:tcBorders>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1000,00</w:t>
            </w:r>
          </w:p>
        </w:tc>
        <w:tc>
          <w:tcPr>
            <w:tcW w:w="1027" w:type="dxa"/>
            <w:tcBorders>
              <w:top w:val="single" w:sz="4" w:space="0" w:color="000000"/>
            </w:tcBorders>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0,15</w:t>
            </w:r>
          </w:p>
        </w:tc>
      </w:tr>
      <w:tr w:rsidR="00526BDB" w:rsidRPr="00526BDB" w:rsidTr="00526BDB">
        <w:trPr>
          <w:trHeight w:val="229"/>
          <w:jc w:val="center"/>
        </w:trPr>
        <w:tc>
          <w:tcPr>
            <w:tcW w:w="609"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2</w:t>
            </w:r>
          </w:p>
        </w:tc>
        <w:tc>
          <w:tcPr>
            <w:tcW w:w="3258"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pH</w:t>
            </w:r>
          </w:p>
        </w:tc>
        <w:tc>
          <w:tcPr>
            <w:tcW w:w="1441"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Unidad pH</w:t>
            </w:r>
          </w:p>
        </w:tc>
        <w:tc>
          <w:tcPr>
            <w:tcW w:w="1253"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7,74</w:t>
            </w:r>
          </w:p>
        </w:tc>
        <w:tc>
          <w:tcPr>
            <w:tcW w:w="1362"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7,78</w:t>
            </w:r>
          </w:p>
        </w:tc>
        <w:tc>
          <w:tcPr>
            <w:tcW w:w="140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7,93</w:t>
            </w:r>
          </w:p>
        </w:tc>
        <w:tc>
          <w:tcPr>
            <w:tcW w:w="1027"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0,12</w:t>
            </w:r>
          </w:p>
        </w:tc>
      </w:tr>
      <w:tr w:rsidR="00526BDB" w:rsidRPr="00526BDB" w:rsidTr="00526BDB">
        <w:trPr>
          <w:trHeight w:val="221"/>
          <w:jc w:val="center"/>
        </w:trPr>
        <w:tc>
          <w:tcPr>
            <w:tcW w:w="609"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3</w:t>
            </w:r>
          </w:p>
        </w:tc>
        <w:tc>
          <w:tcPr>
            <w:tcW w:w="3258"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DBO5</w:t>
            </w:r>
          </w:p>
        </w:tc>
        <w:tc>
          <w:tcPr>
            <w:tcW w:w="1441"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mg / L</w:t>
            </w:r>
          </w:p>
        </w:tc>
        <w:tc>
          <w:tcPr>
            <w:tcW w:w="1253"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2,70</w:t>
            </w:r>
          </w:p>
        </w:tc>
        <w:tc>
          <w:tcPr>
            <w:tcW w:w="1362"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36,00</w:t>
            </w:r>
          </w:p>
        </w:tc>
        <w:tc>
          <w:tcPr>
            <w:tcW w:w="140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93,00</w:t>
            </w:r>
          </w:p>
        </w:tc>
        <w:tc>
          <w:tcPr>
            <w:tcW w:w="1027"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0,10</w:t>
            </w:r>
          </w:p>
        </w:tc>
      </w:tr>
      <w:tr w:rsidR="00526BDB" w:rsidRPr="00526BDB" w:rsidTr="00526BDB">
        <w:trPr>
          <w:trHeight w:val="229"/>
          <w:jc w:val="center"/>
        </w:trPr>
        <w:tc>
          <w:tcPr>
            <w:tcW w:w="609"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4</w:t>
            </w:r>
          </w:p>
        </w:tc>
        <w:tc>
          <w:tcPr>
            <w:tcW w:w="3258"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Nitratos</w:t>
            </w:r>
          </w:p>
        </w:tc>
        <w:tc>
          <w:tcPr>
            <w:tcW w:w="1441"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mg / L</w:t>
            </w:r>
          </w:p>
        </w:tc>
        <w:tc>
          <w:tcPr>
            <w:tcW w:w="1253"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1,00</w:t>
            </w:r>
          </w:p>
        </w:tc>
        <w:tc>
          <w:tcPr>
            <w:tcW w:w="1362"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1,60</w:t>
            </w:r>
          </w:p>
        </w:tc>
        <w:tc>
          <w:tcPr>
            <w:tcW w:w="140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2,40</w:t>
            </w:r>
          </w:p>
        </w:tc>
        <w:tc>
          <w:tcPr>
            <w:tcW w:w="1027"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0,10</w:t>
            </w:r>
          </w:p>
        </w:tc>
      </w:tr>
      <w:tr w:rsidR="00526BDB" w:rsidRPr="00526BDB" w:rsidTr="00526BDB">
        <w:trPr>
          <w:trHeight w:val="229"/>
          <w:jc w:val="center"/>
        </w:trPr>
        <w:tc>
          <w:tcPr>
            <w:tcW w:w="609"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5</w:t>
            </w:r>
          </w:p>
        </w:tc>
        <w:tc>
          <w:tcPr>
            <w:tcW w:w="3258"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Fosfatos</w:t>
            </w:r>
          </w:p>
        </w:tc>
        <w:tc>
          <w:tcPr>
            <w:tcW w:w="1441"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mg / L</w:t>
            </w:r>
          </w:p>
        </w:tc>
        <w:tc>
          <w:tcPr>
            <w:tcW w:w="1253"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0,90</w:t>
            </w:r>
          </w:p>
        </w:tc>
        <w:tc>
          <w:tcPr>
            <w:tcW w:w="1362"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0,71</w:t>
            </w:r>
          </w:p>
        </w:tc>
        <w:tc>
          <w:tcPr>
            <w:tcW w:w="140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2,36</w:t>
            </w:r>
          </w:p>
        </w:tc>
        <w:tc>
          <w:tcPr>
            <w:tcW w:w="1027"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0,10</w:t>
            </w:r>
          </w:p>
        </w:tc>
      </w:tr>
      <w:tr w:rsidR="00526BDB" w:rsidRPr="00526BDB" w:rsidTr="00526BDB">
        <w:trPr>
          <w:trHeight w:val="221"/>
          <w:jc w:val="center"/>
        </w:trPr>
        <w:tc>
          <w:tcPr>
            <w:tcW w:w="609"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6</w:t>
            </w:r>
          </w:p>
        </w:tc>
        <w:tc>
          <w:tcPr>
            <w:tcW w:w="3258"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Cambio de Temperatura</w:t>
            </w:r>
          </w:p>
        </w:tc>
        <w:tc>
          <w:tcPr>
            <w:tcW w:w="1441"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֯C</w:t>
            </w:r>
          </w:p>
        </w:tc>
        <w:tc>
          <w:tcPr>
            <w:tcW w:w="1253"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0,70</w:t>
            </w:r>
          </w:p>
        </w:tc>
        <w:tc>
          <w:tcPr>
            <w:tcW w:w="1362"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0,90</w:t>
            </w:r>
          </w:p>
        </w:tc>
        <w:tc>
          <w:tcPr>
            <w:tcW w:w="140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1,00</w:t>
            </w:r>
          </w:p>
        </w:tc>
        <w:tc>
          <w:tcPr>
            <w:tcW w:w="1027"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0,10</w:t>
            </w:r>
          </w:p>
        </w:tc>
      </w:tr>
      <w:tr w:rsidR="00526BDB" w:rsidRPr="00526BDB" w:rsidTr="00526BDB">
        <w:trPr>
          <w:trHeight w:val="229"/>
          <w:jc w:val="center"/>
        </w:trPr>
        <w:tc>
          <w:tcPr>
            <w:tcW w:w="609"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7</w:t>
            </w:r>
          </w:p>
        </w:tc>
        <w:tc>
          <w:tcPr>
            <w:tcW w:w="3258"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Turbidez</w:t>
            </w:r>
          </w:p>
        </w:tc>
        <w:tc>
          <w:tcPr>
            <w:tcW w:w="1441"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NTU</w:t>
            </w:r>
          </w:p>
        </w:tc>
        <w:tc>
          <w:tcPr>
            <w:tcW w:w="1253"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6,55</w:t>
            </w:r>
          </w:p>
        </w:tc>
        <w:tc>
          <w:tcPr>
            <w:tcW w:w="1362"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20,80</w:t>
            </w:r>
          </w:p>
        </w:tc>
        <w:tc>
          <w:tcPr>
            <w:tcW w:w="140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7,12</w:t>
            </w:r>
          </w:p>
        </w:tc>
        <w:tc>
          <w:tcPr>
            <w:tcW w:w="1027"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0,08</w:t>
            </w:r>
          </w:p>
        </w:tc>
      </w:tr>
      <w:tr w:rsidR="00526BDB" w:rsidRPr="00526BDB" w:rsidTr="00526BDB">
        <w:trPr>
          <w:trHeight w:val="83"/>
          <w:jc w:val="center"/>
        </w:trPr>
        <w:tc>
          <w:tcPr>
            <w:tcW w:w="609"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8</w:t>
            </w:r>
          </w:p>
        </w:tc>
        <w:tc>
          <w:tcPr>
            <w:tcW w:w="3258"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Solidos totales disueltos</w:t>
            </w:r>
          </w:p>
        </w:tc>
        <w:tc>
          <w:tcPr>
            <w:tcW w:w="1441"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mg / L</w:t>
            </w:r>
          </w:p>
        </w:tc>
        <w:tc>
          <w:tcPr>
            <w:tcW w:w="1253"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315,00</w:t>
            </w:r>
          </w:p>
        </w:tc>
        <w:tc>
          <w:tcPr>
            <w:tcW w:w="1362"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368,00</w:t>
            </w:r>
          </w:p>
        </w:tc>
        <w:tc>
          <w:tcPr>
            <w:tcW w:w="140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550,00</w:t>
            </w:r>
          </w:p>
        </w:tc>
        <w:tc>
          <w:tcPr>
            <w:tcW w:w="1027"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0,08</w:t>
            </w:r>
          </w:p>
        </w:tc>
      </w:tr>
      <w:tr w:rsidR="00526BDB" w:rsidRPr="00526BDB" w:rsidTr="00526BDB">
        <w:trPr>
          <w:trHeight w:val="83"/>
          <w:jc w:val="center"/>
        </w:trPr>
        <w:tc>
          <w:tcPr>
            <w:tcW w:w="609"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9</w:t>
            </w:r>
          </w:p>
        </w:tc>
        <w:tc>
          <w:tcPr>
            <w:tcW w:w="3258"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Oxígeno Disuelto</w:t>
            </w:r>
          </w:p>
        </w:tc>
        <w:tc>
          <w:tcPr>
            <w:tcW w:w="1441"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 saturación</w:t>
            </w:r>
          </w:p>
        </w:tc>
        <w:tc>
          <w:tcPr>
            <w:tcW w:w="1253"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91,44</w:t>
            </w:r>
          </w:p>
        </w:tc>
        <w:tc>
          <w:tcPr>
            <w:tcW w:w="1362"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90,55</w:t>
            </w:r>
          </w:p>
        </w:tc>
        <w:tc>
          <w:tcPr>
            <w:tcW w:w="1406"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15,87</w:t>
            </w:r>
          </w:p>
        </w:tc>
        <w:tc>
          <w:tcPr>
            <w:tcW w:w="1027" w:type="dxa"/>
          </w:tcPr>
          <w:p w:rsidR="00526BDB" w:rsidRPr="00526BDB" w:rsidRDefault="00526BDB" w:rsidP="00526BDB">
            <w:pPr>
              <w:spacing w:after="0" w:line="276" w:lineRule="auto"/>
              <w:jc w:val="center"/>
              <w:rPr>
                <w:rFonts w:ascii="Times New Roman" w:hAnsi="Times New Roman"/>
                <w:sz w:val="20"/>
                <w:szCs w:val="20"/>
              </w:rPr>
            </w:pPr>
            <w:r w:rsidRPr="00526BDB">
              <w:rPr>
                <w:rFonts w:ascii="Times New Roman" w:hAnsi="Times New Roman"/>
                <w:sz w:val="20"/>
                <w:szCs w:val="20"/>
              </w:rPr>
              <w:t>0,17</w:t>
            </w:r>
          </w:p>
        </w:tc>
      </w:tr>
    </w:tbl>
    <w:p w:rsidR="00860394" w:rsidRPr="00526BDB" w:rsidRDefault="00860394" w:rsidP="00526BDB">
      <w:pPr>
        <w:spacing w:after="0" w:line="360" w:lineRule="auto"/>
        <w:jc w:val="center"/>
        <w:rPr>
          <w:rFonts w:ascii="Times New Roman" w:hAnsi="Times New Roman"/>
          <w:sz w:val="18"/>
          <w:szCs w:val="18"/>
        </w:rPr>
      </w:pPr>
      <w:r w:rsidRPr="00526BDB">
        <w:rPr>
          <w:rFonts w:ascii="Times New Roman" w:hAnsi="Times New Roman"/>
          <w:b/>
          <w:sz w:val="18"/>
          <w:szCs w:val="18"/>
        </w:rPr>
        <w:t>Fuente:</w:t>
      </w:r>
      <w:r w:rsidRPr="00526BDB">
        <w:rPr>
          <w:rFonts w:ascii="Times New Roman" w:hAnsi="Times New Roman"/>
          <w:sz w:val="18"/>
          <w:szCs w:val="18"/>
        </w:rPr>
        <w:t xml:space="preserve"> Elaboración propia.</w:t>
      </w:r>
    </w:p>
    <w:p w:rsidR="00526BDB" w:rsidRPr="00526BDB" w:rsidRDefault="00526BDB" w:rsidP="00860394">
      <w:pPr>
        <w:spacing w:after="0" w:line="360" w:lineRule="auto"/>
        <w:jc w:val="both"/>
        <w:rPr>
          <w:rFonts w:ascii="Times New Roman" w:hAnsi="Times New Roman"/>
          <w:sz w:val="20"/>
          <w:szCs w:val="24"/>
        </w:rPr>
      </w:pP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Así mismo, se realizó un análisis mediante gráficos estadísticos de los resultados obtenidos para cada parámetro: </w:t>
      </w:r>
    </w:p>
    <w:p w:rsidR="00526BDB" w:rsidRPr="00526BDB" w:rsidRDefault="00526BDB" w:rsidP="00860394">
      <w:pPr>
        <w:spacing w:after="0" w:line="360" w:lineRule="auto"/>
        <w:jc w:val="both"/>
        <w:rPr>
          <w:rFonts w:ascii="Times New Roman" w:hAnsi="Times New Roman"/>
          <w:sz w:val="20"/>
          <w:szCs w:val="24"/>
        </w:rPr>
      </w:pPr>
    </w:p>
    <w:p w:rsidR="00860394" w:rsidRPr="00526BDB" w:rsidRDefault="00860394" w:rsidP="00860394">
      <w:pPr>
        <w:spacing w:after="0" w:line="360" w:lineRule="auto"/>
        <w:jc w:val="both"/>
        <w:rPr>
          <w:rFonts w:ascii="Times New Roman" w:hAnsi="Times New Roman"/>
          <w:b/>
          <w:sz w:val="24"/>
          <w:szCs w:val="24"/>
        </w:rPr>
      </w:pPr>
      <w:proofErr w:type="spellStart"/>
      <w:r w:rsidRPr="00526BDB">
        <w:rPr>
          <w:rFonts w:ascii="Times New Roman" w:hAnsi="Times New Roman"/>
          <w:b/>
          <w:sz w:val="24"/>
          <w:szCs w:val="24"/>
        </w:rPr>
        <w:t>Coliformes</w:t>
      </w:r>
      <w:proofErr w:type="spellEnd"/>
      <w:r w:rsidRPr="00526BDB">
        <w:rPr>
          <w:rFonts w:ascii="Times New Roman" w:hAnsi="Times New Roman"/>
          <w:b/>
          <w:sz w:val="24"/>
          <w:szCs w:val="24"/>
        </w:rPr>
        <w:t xml:space="preserve"> Fecales (CF). Resultados obtenidos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De acuerdo a los resultados obtenidos del parámetro CF, según la ilustración N° 2, el pico más alto lo tenemos en el punto dos, puente Puerto Real, lo que concuerda con las 28 conexiones clandestinas de aguas negras clausuradas en el año 2019 por el GADM Portoviejo, la mayoría en el sector de incidencia en la parroquia Andrés de Vera y Simón Bolívar. Al presentarse estos CF en el agua, indican que existe contaminación de tipo microbiológica, lo que puede provocar enfermedades de todo tipo en personas que la consuman.</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Los valores obtenidos de este parámetro, de acuerdo a norma ecuatoriana vigente, NO cumplen los límites máximos permisibles para aguas de consumo humano y uso doméstico.</w:t>
      </w:r>
    </w:p>
    <w:p w:rsidR="00860394" w:rsidRPr="00526BDB" w:rsidRDefault="00860394" w:rsidP="00526BDB">
      <w:pPr>
        <w:spacing w:after="0" w:line="360" w:lineRule="auto"/>
        <w:jc w:val="center"/>
        <w:rPr>
          <w:rFonts w:ascii="Times New Roman" w:hAnsi="Times New Roman"/>
          <w:sz w:val="20"/>
          <w:szCs w:val="24"/>
        </w:rPr>
      </w:pPr>
    </w:p>
    <w:p w:rsidR="00860394" w:rsidRPr="00526BDB" w:rsidRDefault="00526BDB" w:rsidP="00526BDB">
      <w:pPr>
        <w:spacing w:after="0" w:line="360" w:lineRule="auto"/>
        <w:jc w:val="center"/>
        <w:rPr>
          <w:rFonts w:ascii="Times New Roman" w:hAnsi="Times New Roman"/>
          <w:sz w:val="20"/>
          <w:szCs w:val="24"/>
        </w:rPr>
      </w:pPr>
      <w:r>
        <w:rPr>
          <w:noProof/>
          <w:highlight w:val="darkBlue"/>
          <w:lang w:eastAsia="es-EC"/>
        </w:rPr>
        <w:drawing>
          <wp:anchor distT="0" distB="0" distL="114300" distR="114300" simplePos="0" relativeHeight="251660800" behindDoc="0" locked="0" layoutInCell="1" allowOverlap="1">
            <wp:simplePos x="0" y="0"/>
            <wp:positionH relativeFrom="column">
              <wp:posOffset>637540</wp:posOffset>
            </wp:positionH>
            <wp:positionV relativeFrom="paragraph">
              <wp:posOffset>408305</wp:posOffset>
            </wp:positionV>
            <wp:extent cx="5124450" cy="2133600"/>
            <wp:effectExtent l="0" t="0" r="0" b="0"/>
            <wp:wrapTopAndBottom/>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60394" w:rsidRPr="00526BDB">
        <w:rPr>
          <w:rFonts w:ascii="Times New Roman" w:hAnsi="Times New Roman"/>
          <w:b/>
          <w:sz w:val="20"/>
          <w:szCs w:val="24"/>
        </w:rPr>
        <w:t>Ilustración 2</w:t>
      </w:r>
      <w:r w:rsidRPr="00526BDB">
        <w:rPr>
          <w:rFonts w:ascii="Times New Roman" w:hAnsi="Times New Roman"/>
          <w:b/>
          <w:sz w:val="20"/>
          <w:szCs w:val="24"/>
        </w:rPr>
        <w:t>:</w:t>
      </w:r>
      <w:r w:rsidR="00860394" w:rsidRPr="00526BDB">
        <w:rPr>
          <w:rFonts w:ascii="Times New Roman" w:hAnsi="Times New Roman"/>
          <w:sz w:val="20"/>
          <w:szCs w:val="24"/>
        </w:rPr>
        <w:t xml:space="preserve"> Resultados obtenidos para el parámetro </w:t>
      </w:r>
      <w:proofErr w:type="spellStart"/>
      <w:r w:rsidR="00860394" w:rsidRPr="00526BDB">
        <w:rPr>
          <w:rFonts w:ascii="Times New Roman" w:hAnsi="Times New Roman"/>
          <w:sz w:val="20"/>
          <w:szCs w:val="24"/>
        </w:rPr>
        <w:t>Coliformes</w:t>
      </w:r>
      <w:proofErr w:type="spellEnd"/>
      <w:r w:rsidR="00860394" w:rsidRPr="00526BDB">
        <w:rPr>
          <w:rFonts w:ascii="Times New Roman" w:hAnsi="Times New Roman"/>
          <w:sz w:val="20"/>
          <w:szCs w:val="24"/>
        </w:rPr>
        <w:t xml:space="preserve"> Fecales (CF) en tres puntos de la cuenca media del río Portoviejo.</w:t>
      </w:r>
      <w:r w:rsidRPr="00526BDB">
        <w:rPr>
          <w:noProof/>
          <w:highlight w:val="darkBlue"/>
          <w:lang w:eastAsia="es-EC"/>
        </w:rPr>
        <w:t xml:space="preserve"> </w:t>
      </w:r>
    </w:p>
    <w:p w:rsidR="00526BDB" w:rsidRPr="00860394" w:rsidRDefault="00526BDB" w:rsidP="00526BDB">
      <w:pPr>
        <w:spacing w:after="0" w:line="276"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sz w:val="24"/>
          <w:szCs w:val="24"/>
        </w:rPr>
      </w:pPr>
      <w:r w:rsidRPr="00526BDB">
        <w:rPr>
          <w:rFonts w:ascii="Times New Roman" w:hAnsi="Times New Roman"/>
          <w:b/>
          <w:sz w:val="24"/>
          <w:szCs w:val="24"/>
        </w:rPr>
        <w:t>Potencial de Hidrógeno (pH): Resultados obtenidos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De acuerdo a los resultados obtenidos del parámetro pH, según la ilustración N° 3, se puede observar que va en aumento con el paso de la ciudad, del punto uno al tres, siendo el pico más alto el punto tres que es en el puente Mejía. Los valores obtenidos de este parámetro, según la norma ecuatoriana vigente, se encuentra dentro de los límites máximos permisibles para aguas de consumo humano y uso doméstico.</w:t>
      </w:r>
    </w:p>
    <w:p w:rsidR="00860394" w:rsidRPr="00526BDB" w:rsidRDefault="00860394" w:rsidP="00860394">
      <w:pPr>
        <w:spacing w:after="0" w:line="360" w:lineRule="auto"/>
        <w:jc w:val="both"/>
        <w:rPr>
          <w:rFonts w:ascii="Times New Roman" w:hAnsi="Times New Roman"/>
          <w:sz w:val="24"/>
          <w:szCs w:val="24"/>
        </w:rPr>
      </w:pPr>
    </w:p>
    <w:p w:rsidR="00860394" w:rsidRPr="00526BDB" w:rsidRDefault="00526BDB" w:rsidP="00526BDB">
      <w:pPr>
        <w:spacing w:after="0" w:line="360" w:lineRule="auto"/>
        <w:jc w:val="center"/>
        <w:rPr>
          <w:rFonts w:ascii="Times New Roman" w:hAnsi="Times New Roman"/>
          <w:sz w:val="20"/>
          <w:szCs w:val="24"/>
        </w:rPr>
      </w:pPr>
      <w:r>
        <w:rPr>
          <w:noProof/>
          <w:highlight w:val="darkBlue"/>
          <w:lang w:eastAsia="es-EC"/>
        </w:rPr>
        <w:drawing>
          <wp:anchor distT="0" distB="0" distL="114300" distR="114300" simplePos="0" relativeHeight="251661824" behindDoc="0" locked="0" layoutInCell="1" allowOverlap="1">
            <wp:simplePos x="0" y="0"/>
            <wp:positionH relativeFrom="column">
              <wp:posOffset>799465</wp:posOffset>
            </wp:positionH>
            <wp:positionV relativeFrom="paragraph">
              <wp:posOffset>197485</wp:posOffset>
            </wp:positionV>
            <wp:extent cx="4381500" cy="2524125"/>
            <wp:effectExtent l="0" t="0" r="0" b="9525"/>
            <wp:wrapTopAndBottom/>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860394" w:rsidRPr="00526BDB">
        <w:rPr>
          <w:rFonts w:ascii="Times New Roman" w:hAnsi="Times New Roman"/>
          <w:b/>
          <w:sz w:val="20"/>
          <w:szCs w:val="24"/>
        </w:rPr>
        <w:t>Ilustración 3</w:t>
      </w:r>
      <w:r w:rsidRPr="00526BDB">
        <w:rPr>
          <w:rFonts w:ascii="Times New Roman" w:hAnsi="Times New Roman"/>
          <w:b/>
          <w:sz w:val="20"/>
          <w:szCs w:val="24"/>
        </w:rPr>
        <w:t>:</w:t>
      </w:r>
      <w:r w:rsidR="00860394" w:rsidRPr="00526BDB">
        <w:rPr>
          <w:rFonts w:ascii="Times New Roman" w:hAnsi="Times New Roman"/>
          <w:sz w:val="20"/>
          <w:szCs w:val="24"/>
        </w:rPr>
        <w:t xml:space="preserve"> Concentraciones de pH en tres puntos de la cuenca media del rio Portoviejo</w:t>
      </w:r>
    </w:p>
    <w:p w:rsidR="00526BDB" w:rsidRPr="00860394" w:rsidRDefault="00526BDB"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b/>
          <w:sz w:val="24"/>
          <w:szCs w:val="24"/>
        </w:rPr>
      </w:pPr>
      <w:r w:rsidRPr="00526BDB">
        <w:rPr>
          <w:rFonts w:ascii="Times New Roman" w:hAnsi="Times New Roman"/>
          <w:b/>
          <w:sz w:val="24"/>
          <w:szCs w:val="24"/>
        </w:rPr>
        <w:t>Demanda Bioquímica de Oxígeno (DBO5). Resultados obtenidos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Los resultados obtenidos del parámetro (DBO5), según la ilustración N° 4, los valores más altos se tienen en el punto tres que corresponde en el puente Mejía. Además, se puede evidenciar un incremento conforme va pasando por la urbe. Los hallazgos obtenidos para los niveles de DBO5 evidencian que un incremento de este parámetro</w:t>
      </w:r>
      <w:proofErr w:type="gramStart"/>
      <w:r w:rsidRPr="00860394">
        <w:rPr>
          <w:rFonts w:ascii="Times New Roman" w:hAnsi="Times New Roman"/>
          <w:sz w:val="24"/>
          <w:szCs w:val="24"/>
        </w:rPr>
        <w:t>,  denotan</w:t>
      </w:r>
      <w:proofErr w:type="gramEnd"/>
      <w:r w:rsidRPr="00860394">
        <w:rPr>
          <w:rFonts w:ascii="Times New Roman" w:hAnsi="Times New Roman"/>
          <w:sz w:val="24"/>
          <w:szCs w:val="24"/>
        </w:rPr>
        <w:t xml:space="preserve"> a su vez una reducción de la cantidad de oxígeno, debido a que la demanda de oxígeno por parte de las bacterias es alta.</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Los valores obtenidos de este parámetro en los puntos uno, dos y tres, según la tabla 19 del acuerdo del Ministerio del Ambiente de Ecuador (MAE, 2015) Acuerdo 097A, NO cumplen los límites máximos permisibles para aguas de consumo humano y uso doméstico.</w:t>
      </w: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 </w:t>
      </w:r>
    </w:p>
    <w:p w:rsidR="00526BDB" w:rsidRPr="00860394" w:rsidRDefault="00526BDB" w:rsidP="00860394">
      <w:pPr>
        <w:spacing w:after="0" w:line="360" w:lineRule="auto"/>
        <w:jc w:val="both"/>
        <w:rPr>
          <w:rFonts w:ascii="Times New Roman" w:hAnsi="Times New Roman"/>
          <w:sz w:val="24"/>
          <w:szCs w:val="24"/>
        </w:rPr>
      </w:pPr>
    </w:p>
    <w:p w:rsidR="00860394" w:rsidRPr="00526BDB" w:rsidRDefault="00526BDB" w:rsidP="00526BDB">
      <w:pPr>
        <w:spacing w:after="0" w:line="360" w:lineRule="auto"/>
        <w:jc w:val="center"/>
        <w:rPr>
          <w:rFonts w:ascii="Times New Roman" w:hAnsi="Times New Roman"/>
          <w:sz w:val="20"/>
          <w:szCs w:val="24"/>
        </w:rPr>
      </w:pPr>
      <w:r>
        <w:rPr>
          <w:noProof/>
          <w:highlight w:val="darkBlue"/>
          <w:lang w:eastAsia="es-EC"/>
        </w:rPr>
        <w:drawing>
          <wp:anchor distT="0" distB="0" distL="114300" distR="114300" simplePos="0" relativeHeight="251662848" behindDoc="0" locked="0" layoutInCell="1" allowOverlap="1">
            <wp:simplePos x="0" y="0"/>
            <wp:positionH relativeFrom="column">
              <wp:posOffset>732790</wp:posOffset>
            </wp:positionH>
            <wp:positionV relativeFrom="paragraph">
              <wp:posOffset>429895</wp:posOffset>
            </wp:positionV>
            <wp:extent cx="4667250" cy="1685925"/>
            <wp:effectExtent l="0" t="0" r="0" b="9525"/>
            <wp:wrapTopAndBottom/>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526BDB">
        <w:rPr>
          <w:rFonts w:ascii="Times New Roman" w:hAnsi="Times New Roman"/>
          <w:b/>
          <w:sz w:val="20"/>
          <w:szCs w:val="24"/>
        </w:rPr>
        <w:t>Ilustración 4:</w:t>
      </w:r>
      <w:r w:rsidR="00860394" w:rsidRPr="00526BDB">
        <w:rPr>
          <w:rFonts w:ascii="Times New Roman" w:hAnsi="Times New Roman"/>
          <w:sz w:val="20"/>
          <w:szCs w:val="24"/>
        </w:rPr>
        <w:t xml:space="preserve"> Concentraciones de la demanda bioquímica de oxígeno en tres puntos de la cuenca media del río Portoviejo</w:t>
      </w:r>
    </w:p>
    <w:p w:rsidR="00526BDB" w:rsidRPr="00860394" w:rsidRDefault="00526BDB" w:rsidP="00860394">
      <w:pPr>
        <w:spacing w:after="0" w:line="360" w:lineRule="auto"/>
        <w:jc w:val="both"/>
        <w:rPr>
          <w:rFonts w:ascii="Times New Roman" w:hAnsi="Times New Roman"/>
          <w:sz w:val="24"/>
          <w:szCs w:val="24"/>
        </w:rPr>
      </w:pPr>
    </w:p>
    <w:p w:rsidR="00860394" w:rsidRPr="00526BDB" w:rsidRDefault="00860394" w:rsidP="00860394">
      <w:pPr>
        <w:spacing w:after="0" w:line="360" w:lineRule="auto"/>
        <w:jc w:val="both"/>
        <w:rPr>
          <w:rFonts w:ascii="Times New Roman" w:hAnsi="Times New Roman" w:hint="eastAsia"/>
          <w:b/>
          <w:sz w:val="24"/>
          <w:szCs w:val="24"/>
        </w:rPr>
      </w:pPr>
      <w:r w:rsidRPr="00526BDB">
        <w:rPr>
          <w:rFonts w:ascii="Times New Roman" w:hAnsi="Times New Roman" w:hint="eastAsia"/>
          <w:b/>
          <w:sz w:val="24"/>
          <w:szCs w:val="24"/>
        </w:rPr>
        <w:t>Nitratos</w:t>
      </w:r>
      <m:oMath>
        <m:sSub>
          <m:sSubPr>
            <m:ctrlPr>
              <w:rPr>
                <w:rFonts w:ascii="Cambria Math" w:eastAsia="Cambria Math" w:hAnsi="Cambria Math" w:cs="Cambria Math"/>
                <w:b/>
                <w:sz w:val="24"/>
                <w:szCs w:val="24"/>
              </w:rPr>
            </m:ctrlPr>
          </m:sSubPr>
          <m:e>
            <m:r>
              <m:rPr>
                <m:sty m:val="bi"/>
              </m:rPr>
              <w:rPr>
                <w:rFonts w:ascii="Cambria Math" w:eastAsia="Cambria Math" w:hAnsi="Cambria Math" w:cs="Cambria Math"/>
                <w:sz w:val="24"/>
                <w:szCs w:val="24"/>
              </w:rPr>
              <m:t xml:space="preserve"> (N-NO</m:t>
            </m:r>
          </m:e>
          <m:sub>
            <m:r>
              <m:rPr>
                <m:sty m:val="bi"/>
              </m:rPr>
              <w:rPr>
                <w:rFonts w:ascii="Cambria Math" w:eastAsia="Cambria Math" w:hAnsi="Cambria Math" w:cs="Cambria Math"/>
                <w:sz w:val="24"/>
                <w:szCs w:val="24"/>
              </w:rPr>
              <m:t>3</m:t>
            </m:r>
          </m:sub>
        </m:sSub>
        <m:r>
          <m:rPr>
            <m:sty m:val="bi"/>
          </m:rPr>
          <w:rPr>
            <w:rFonts w:ascii="Cambria Math" w:eastAsia="Cambria Math" w:hAnsi="Cambria Math" w:cs="Cambria Math"/>
            <w:sz w:val="24"/>
            <w:szCs w:val="24"/>
          </w:rPr>
          <m:t xml:space="preserve"> )</m:t>
        </m:r>
      </m:oMath>
      <w:r w:rsidR="00526BDB" w:rsidRPr="00526BDB">
        <w:rPr>
          <w:rFonts w:ascii="Times New Roman" w:eastAsia="Times New Roman" w:hAnsi="Times New Roman"/>
          <w:b/>
          <w:sz w:val="24"/>
          <w:szCs w:val="24"/>
        </w:rPr>
        <w:t xml:space="preserve">: </w:t>
      </w:r>
      <w:r w:rsidRPr="00526BDB">
        <w:rPr>
          <w:rFonts w:ascii="Times New Roman" w:hAnsi="Times New Roman" w:hint="eastAsia"/>
          <w:b/>
          <w:sz w:val="24"/>
          <w:szCs w:val="24"/>
        </w:rPr>
        <w:t>Resultados obtenidos</w:t>
      </w:r>
    </w:p>
    <w:p w:rsidR="00860394" w:rsidRPr="00860394" w:rsidRDefault="00860394" w:rsidP="00860394">
      <w:pPr>
        <w:spacing w:after="0" w:line="360" w:lineRule="auto"/>
        <w:jc w:val="both"/>
        <w:rPr>
          <w:rFonts w:ascii="Times New Roman" w:hAnsi="Times New Roman" w:hint="eastAsia"/>
          <w:sz w:val="24"/>
          <w:szCs w:val="24"/>
        </w:rPr>
      </w:pPr>
      <w:r w:rsidRPr="00860394">
        <w:rPr>
          <w:rFonts w:ascii="Times New Roman" w:hAnsi="Times New Roman"/>
          <w:sz w:val="24"/>
          <w:szCs w:val="24"/>
        </w:rPr>
        <w:t xml:space="preserve">La concentración de nitratos a lo largo del río va en aumento conforme avanza aguas abajo, crece desde el punto uno al tres, siendo este último su mayor pico, como se puede observar en la ilustración N° 5. La existencia de tierras agrícolas, pastos, aguas </w:t>
      </w:r>
      <w:r w:rsidRPr="00860394">
        <w:rPr>
          <w:rFonts w:ascii="Times New Roman" w:hAnsi="Times New Roman" w:hint="eastAsia"/>
          <w:sz w:val="24"/>
          <w:szCs w:val="24"/>
        </w:rPr>
        <w:t xml:space="preserve">negras, detergentes y desechos de animales, evidencia el aumento de este </w:t>
      </w:r>
      <w:r w:rsidRPr="00860394">
        <w:rPr>
          <w:rFonts w:ascii="Times New Roman" w:hAnsi="Times New Roman" w:hint="eastAsia"/>
          <w:sz w:val="24"/>
          <w:szCs w:val="24"/>
        </w:rPr>
        <w:t>〖</w:t>
      </w:r>
      <w:r w:rsidRPr="00860394">
        <w:rPr>
          <w:rFonts w:ascii="Times New Roman" w:hAnsi="Times New Roman" w:hint="eastAsia"/>
          <w:sz w:val="24"/>
          <w:szCs w:val="24"/>
        </w:rPr>
        <w:t xml:space="preserve"> (N-NO</w:t>
      </w:r>
      <w:r w:rsidRPr="00860394">
        <w:rPr>
          <w:rFonts w:ascii="Times New Roman" w:hAnsi="Times New Roman" w:hint="eastAsia"/>
          <w:sz w:val="24"/>
          <w:szCs w:val="24"/>
        </w:rPr>
        <w:t>〗</w:t>
      </w:r>
      <w:r w:rsidRPr="00860394">
        <w:rPr>
          <w:rFonts w:ascii="Times New Roman" w:hAnsi="Times New Roman" w:hint="eastAsia"/>
          <w:sz w:val="24"/>
          <w:szCs w:val="24"/>
        </w:rPr>
        <w:t>_</w:t>
      </w:r>
      <w:proofErr w:type="gramStart"/>
      <w:r w:rsidRPr="00860394">
        <w:rPr>
          <w:rFonts w:ascii="Times New Roman" w:hAnsi="Times New Roman" w:hint="eastAsia"/>
          <w:sz w:val="24"/>
          <w:szCs w:val="24"/>
        </w:rPr>
        <w:t>3  )</w:t>
      </w:r>
      <w:proofErr w:type="gramEnd"/>
      <w:r w:rsidRPr="00860394">
        <w:rPr>
          <w:rFonts w:ascii="Times New Roman" w:hAnsi="Times New Roman" w:hint="eastAsia"/>
          <w:sz w:val="24"/>
          <w:szCs w:val="24"/>
        </w:rPr>
        <w:t xml:space="preserve">  y la disminución del oxígeno.</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Los valores obtenidos de este parámetro en los puntos uno, dos y tres, de acuerdo a norma ecuatoriana vigente, se encuentra dentro de los límites máximos permisibles para aguas de consumo humano y uso doméstico.</w:t>
      </w:r>
    </w:p>
    <w:p w:rsidR="00860394" w:rsidRPr="00526BDB" w:rsidRDefault="00860394" w:rsidP="00526BDB">
      <w:pPr>
        <w:spacing w:after="0" w:line="360" w:lineRule="auto"/>
        <w:jc w:val="center"/>
        <w:rPr>
          <w:rFonts w:ascii="Times New Roman" w:hAnsi="Times New Roman"/>
          <w:sz w:val="20"/>
          <w:szCs w:val="24"/>
        </w:rPr>
      </w:pPr>
    </w:p>
    <w:p w:rsidR="00860394" w:rsidRPr="00526BDB" w:rsidRDefault="00860394" w:rsidP="00526BDB">
      <w:pPr>
        <w:spacing w:after="0" w:line="360" w:lineRule="auto"/>
        <w:jc w:val="center"/>
        <w:rPr>
          <w:rFonts w:ascii="Times New Roman" w:hAnsi="Times New Roman"/>
          <w:sz w:val="20"/>
          <w:szCs w:val="24"/>
        </w:rPr>
      </w:pPr>
      <w:r w:rsidRPr="00526BDB">
        <w:rPr>
          <w:rFonts w:ascii="Times New Roman" w:hAnsi="Times New Roman"/>
          <w:b/>
          <w:sz w:val="20"/>
          <w:szCs w:val="24"/>
        </w:rPr>
        <w:t>Ilustración 5</w:t>
      </w:r>
      <w:r w:rsidR="00526BDB" w:rsidRPr="00526BDB">
        <w:rPr>
          <w:rFonts w:ascii="Times New Roman" w:hAnsi="Times New Roman"/>
          <w:b/>
          <w:sz w:val="20"/>
          <w:szCs w:val="24"/>
        </w:rPr>
        <w:t>:</w:t>
      </w:r>
      <w:r w:rsidRPr="00526BDB">
        <w:rPr>
          <w:rFonts w:ascii="Times New Roman" w:hAnsi="Times New Roman"/>
          <w:sz w:val="20"/>
          <w:szCs w:val="24"/>
        </w:rPr>
        <w:t xml:space="preserve"> Concentración de Nitratos (NO3) en tres puntos de la cuenca media del rio Portoviejo</w:t>
      </w:r>
    </w:p>
    <w:p w:rsidR="00860394" w:rsidRPr="00526BDB" w:rsidRDefault="00526BDB" w:rsidP="00526BDB">
      <w:pPr>
        <w:spacing w:after="0" w:line="360" w:lineRule="auto"/>
        <w:jc w:val="center"/>
        <w:rPr>
          <w:rFonts w:ascii="Times New Roman" w:hAnsi="Times New Roman"/>
          <w:sz w:val="20"/>
          <w:szCs w:val="24"/>
        </w:rPr>
      </w:pPr>
      <w:r>
        <w:rPr>
          <w:noProof/>
          <w:highlight w:val="darkBlue"/>
          <w:lang w:eastAsia="es-EC"/>
        </w:rPr>
        <w:drawing>
          <wp:anchor distT="0" distB="0" distL="114300" distR="114300" simplePos="0" relativeHeight="251663872" behindDoc="0" locked="0" layoutInCell="1" allowOverlap="1">
            <wp:simplePos x="0" y="0"/>
            <wp:positionH relativeFrom="column">
              <wp:posOffset>580390</wp:posOffset>
            </wp:positionH>
            <wp:positionV relativeFrom="paragraph">
              <wp:posOffset>-4445</wp:posOffset>
            </wp:positionV>
            <wp:extent cx="5057775" cy="2038350"/>
            <wp:effectExtent l="0" t="0" r="9525" b="0"/>
            <wp:wrapTopAndBottom/>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60394" w:rsidRPr="00526BDB" w:rsidRDefault="00860394" w:rsidP="00860394">
      <w:pPr>
        <w:spacing w:after="0" w:line="360" w:lineRule="auto"/>
        <w:jc w:val="both"/>
        <w:rPr>
          <w:rFonts w:ascii="Times New Roman" w:hAnsi="Times New Roman"/>
          <w:b/>
          <w:sz w:val="24"/>
          <w:szCs w:val="24"/>
        </w:rPr>
      </w:pPr>
      <w:r w:rsidRPr="00526BDB">
        <w:rPr>
          <w:rFonts w:ascii="Times New Roman" w:hAnsi="Times New Roman"/>
          <w:b/>
          <w:sz w:val="24"/>
          <w:szCs w:val="24"/>
        </w:rPr>
        <w:t>Fosfatos (PO4): Resultados obtenidos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La concentración de Fosfato se encuentra en el punto tres, como se puede observar en la ilustración N° 6. Las cantidades excesivas de fosfato producen un excesivo crecimiento de algas y plantas en los cuerpos de agua, lo que concuerda con lo evidenciado en el punto tres- puente Mejía. Estas algas consumen grandes cantidades de oxígeno como lo expresa. (Carrillo &amp; </w:t>
      </w:r>
      <w:proofErr w:type="spellStart"/>
      <w:r w:rsidRPr="00860394">
        <w:rPr>
          <w:rFonts w:ascii="Times New Roman" w:hAnsi="Times New Roman"/>
          <w:sz w:val="24"/>
          <w:szCs w:val="24"/>
        </w:rPr>
        <w:t>Urgilés</w:t>
      </w:r>
      <w:proofErr w:type="spellEnd"/>
      <w:r w:rsidRPr="00860394">
        <w:rPr>
          <w:rFonts w:ascii="Times New Roman" w:hAnsi="Times New Roman"/>
          <w:sz w:val="24"/>
          <w:szCs w:val="24"/>
        </w:rPr>
        <w:t>, 2016)</w:t>
      </w:r>
    </w:p>
    <w:p w:rsidR="00860394" w:rsidRPr="00526BDB" w:rsidRDefault="00860394" w:rsidP="00526BDB">
      <w:pPr>
        <w:spacing w:after="0" w:line="360" w:lineRule="auto"/>
        <w:jc w:val="center"/>
        <w:rPr>
          <w:rFonts w:ascii="Times New Roman" w:hAnsi="Times New Roman"/>
          <w:sz w:val="20"/>
          <w:szCs w:val="24"/>
        </w:rPr>
      </w:pPr>
    </w:p>
    <w:p w:rsidR="00860394" w:rsidRPr="00526BDB" w:rsidRDefault="00526BDB" w:rsidP="00526BDB">
      <w:pPr>
        <w:spacing w:after="0" w:line="360" w:lineRule="auto"/>
        <w:jc w:val="center"/>
        <w:rPr>
          <w:rFonts w:ascii="Times New Roman" w:hAnsi="Times New Roman"/>
          <w:sz w:val="20"/>
          <w:szCs w:val="24"/>
        </w:rPr>
      </w:pPr>
      <w:r>
        <w:rPr>
          <w:noProof/>
          <w:highlight w:val="darkBlue"/>
          <w:lang w:eastAsia="es-EC"/>
        </w:rPr>
        <w:drawing>
          <wp:anchor distT="0" distB="0" distL="114300" distR="114300" simplePos="0" relativeHeight="251664896" behindDoc="0" locked="0" layoutInCell="1" allowOverlap="1">
            <wp:simplePos x="0" y="0"/>
            <wp:positionH relativeFrom="column">
              <wp:posOffset>856615</wp:posOffset>
            </wp:positionH>
            <wp:positionV relativeFrom="paragraph">
              <wp:posOffset>161290</wp:posOffset>
            </wp:positionV>
            <wp:extent cx="4505325" cy="1876425"/>
            <wp:effectExtent l="0" t="0" r="9525" b="9525"/>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860394" w:rsidRPr="00526BDB">
        <w:rPr>
          <w:rFonts w:ascii="Times New Roman" w:hAnsi="Times New Roman"/>
          <w:b/>
          <w:sz w:val="20"/>
          <w:szCs w:val="24"/>
        </w:rPr>
        <w:t>Ilustración 6</w:t>
      </w:r>
      <w:r w:rsidRPr="00526BDB">
        <w:rPr>
          <w:rFonts w:ascii="Times New Roman" w:hAnsi="Times New Roman"/>
          <w:b/>
          <w:sz w:val="20"/>
          <w:szCs w:val="24"/>
        </w:rPr>
        <w:t>:</w:t>
      </w:r>
      <w:r w:rsidR="00860394" w:rsidRPr="00526BDB">
        <w:rPr>
          <w:rFonts w:ascii="Times New Roman" w:hAnsi="Times New Roman"/>
          <w:sz w:val="20"/>
          <w:szCs w:val="24"/>
        </w:rPr>
        <w:t xml:space="preserve"> Concentración de fosfatos (PO4) en tres puntos de la cuenca media del rio Portoviejo</w:t>
      </w:r>
    </w:p>
    <w:p w:rsidR="00526BDB" w:rsidRPr="00526BDB" w:rsidRDefault="00526BDB" w:rsidP="00526BDB">
      <w:pPr>
        <w:spacing w:after="0" w:line="360" w:lineRule="auto"/>
        <w:jc w:val="center"/>
        <w:rPr>
          <w:rFonts w:ascii="Times New Roman" w:hAnsi="Times New Roman"/>
          <w:sz w:val="20"/>
          <w:szCs w:val="24"/>
        </w:rPr>
      </w:pPr>
    </w:p>
    <w:p w:rsidR="00860394" w:rsidRPr="00526BDB" w:rsidRDefault="00860394" w:rsidP="00860394">
      <w:pPr>
        <w:spacing w:after="0" w:line="360" w:lineRule="auto"/>
        <w:jc w:val="both"/>
        <w:rPr>
          <w:rFonts w:ascii="Times New Roman" w:hAnsi="Times New Roman"/>
          <w:b/>
          <w:sz w:val="24"/>
          <w:szCs w:val="24"/>
        </w:rPr>
      </w:pPr>
      <w:r w:rsidRPr="00526BDB">
        <w:rPr>
          <w:rFonts w:ascii="Times New Roman" w:hAnsi="Times New Roman"/>
          <w:b/>
          <w:sz w:val="24"/>
          <w:szCs w:val="24"/>
        </w:rPr>
        <w:t>Cambio de Temperatura: Resultados obtenidos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Los resultados obtenidos del parámetro cambio de temperatura, según la ilustración N° 7, se puede el incremento de variación de temperatura desde el punto uno al tres, el pico más alto se encuentra en el punto tres, que es en el puente Mejía.</w:t>
      </w:r>
    </w:p>
    <w:p w:rsidR="00860394" w:rsidRPr="00526BDB" w:rsidRDefault="00860394" w:rsidP="00526BDB">
      <w:pPr>
        <w:spacing w:after="0" w:line="360" w:lineRule="auto"/>
        <w:jc w:val="center"/>
        <w:rPr>
          <w:rFonts w:ascii="Times New Roman" w:hAnsi="Times New Roman"/>
          <w:sz w:val="20"/>
          <w:szCs w:val="24"/>
        </w:rPr>
      </w:pPr>
    </w:p>
    <w:p w:rsidR="00860394" w:rsidRPr="00526BDB" w:rsidRDefault="00526BDB" w:rsidP="00526BDB">
      <w:pPr>
        <w:spacing w:after="0" w:line="360" w:lineRule="auto"/>
        <w:jc w:val="center"/>
        <w:rPr>
          <w:rFonts w:ascii="Times New Roman" w:hAnsi="Times New Roman"/>
          <w:sz w:val="20"/>
          <w:szCs w:val="24"/>
        </w:rPr>
      </w:pPr>
      <w:r>
        <w:rPr>
          <w:noProof/>
          <w:highlight w:val="darkBlue"/>
          <w:lang w:eastAsia="es-EC"/>
        </w:rPr>
        <w:drawing>
          <wp:anchor distT="0" distB="0" distL="114300" distR="114300" simplePos="0" relativeHeight="251665920" behindDoc="0" locked="0" layoutInCell="1" allowOverlap="1">
            <wp:simplePos x="0" y="0"/>
            <wp:positionH relativeFrom="column">
              <wp:posOffset>621669</wp:posOffset>
            </wp:positionH>
            <wp:positionV relativeFrom="paragraph">
              <wp:posOffset>196215</wp:posOffset>
            </wp:positionV>
            <wp:extent cx="4905375" cy="1914525"/>
            <wp:effectExtent l="0" t="0" r="9525" b="9525"/>
            <wp:wrapTopAndBottom/>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60394" w:rsidRPr="00526BDB">
        <w:rPr>
          <w:rFonts w:ascii="Times New Roman" w:hAnsi="Times New Roman"/>
          <w:b/>
          <w:sz w:val="20"/>
          <w:szCs w:val="24"/>
        </w:rPr>
        <w:t>Ilustración 7</w:t>
      </w:r>
      <w:r w:rsidRPr="00526BDB">
        <w:rPr>
          <w:rFonts w:ascii="Times New Roman" w:hAnsi="Times New Roman"/>
          <w:b/>
          <w:sz w:val="20"/>
          <w:szCs w:val="24"/>
        </w:rPr>
        <w:t>:</w:t>
      </w:r>
      <w:r w:rsidR="00860394" w:rsidRPr="00526BDB">
        <w:rPr>
          <w:rFonts w:ascii="Times New Roman" w:hAnsi="Times New Roman"/>
          <w:sz w:val="20"/>
          <w:szCs w:val="24"/>
        </w:rPr>
        <w:t xml:space="preserve"> Concentración de cambio de temperatura en los tres puntos de la cuenca media del río Portoviejo</w:t>
      </w:r>
    </w:p>
    <w:p w:rsidR="00860394" w:rsidRPr="008205DC" w:rsidRDefault="00860394" w:rsidP="00526BDB">
      <w:pPr>
        <w:spacing w:after="0" w:line="276" w:lineRule="auto"/>
        <w:jc w:val="center"/>
        <w:rPr>
          <w:rFonts w:ascii="Times New Roman" w:hAnsi="Times New Roman"/>
          <w:sz w:val="24"/>
          <w:szCs w:val="24"/>
        </w:rPr>
      </w:pPr>
    </w:p>
    <w:p w:rsidR="00860394" w:rsidRPr="008205DC" w:rsidRDefault="00860394" w:rsidP="00860394">
      <w:pPr>
        <w:spacing w:after="0" w:line="360" w:lineRule="auto"/>
        <w:jc w:val="both"/>
        <w:rPr>
          <w:rFonts w:ascii="Times New Roman" w:hAnsi="Times New Roman"/>
          <w:b/>
          <w:sz w:val="24"/>
          <w:szCs w:val="24"/>
        </w:rPr>
      </w:pPr>
      <w:r w:rsidRPr="008205DC">
        <w:rPr>
          <w:rFonts w:ascii="Times New Roman" w:hAnsi="Times New Roman"/>
          <w:b/>
          <w:sz w:val="24"/>
          <w:szCs w:val="24"/>
        </w:rPr>
        <w:t>Turbidez: Resultados obtenidos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De acuerdo a los resultados obtenidos de turbidez, según la ilustración N° 8, se puede evidenciar el pico máximo que está en el punto dos. Los valores obtenidos de este parámetro, de acuerdo a norma ecuatoriana vigente, se encuentra dentro de los límites máximos permisibles para aguas de consumo humano y uso doméstico.</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 </w:t>
      </w:r>
    </w:p>
    <w:p w:rsidR="00860394" w:rsidRPr="008205DC" w:rsidRDefault="008205DC" w:rsidP="008205DC">
      <w:pPr>
        <w:spacing w:after="0" w:line="360" w:lineRule="auto"/>
        <w:jc w:val="center"/>
        <w:rPr>
          <w:rFonts w:ascii="Times New Roman" w:hAnsi="Times New Roman"/>
          <w:sz w:val="20"/>
          <w:szCs w:val="24"/>
        </w:rPr>
      </w:pPr>
      <w:r>
        <w:rPr>
          <w:noProof/>
          <w:highlight w:val="darkBlue"/>
          <w:lang w:eastAsia="es-EC"/>
        </w:rPr>
        <w:drawing>
          <wp:anchor distT="0" distB="0" distL="114300" distR="114300" simplePos="0" relativeHeight="251666944" behindDoc="0" locked="0" layoutInCell="1" allowOverlap="1">
            <wp:simplePos x="0" y="0"/>
            <wp:positionH relativeFrom="column">
              <wp:posOffset>1015501</wp:posOffset>
            </wp:positionH>
            <wp:positionV relativeFrom="paragraph">
              <wp:posOffset>172720</wp:posOffset>
            </wp:positionV>
            <wp:extent cx="4257675" cy="1685925"/>
            <wp:effectExtent l="0" t="0" r="9525" b="9525"/>
            <wp:wrapTopAndBottom/>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860394" w:rsidRPr="008205DC">
        <w:rPr>
          <w:rFonts w:ascii="Times New Roman" w:hAnsi="Times New Roman"/>
          <w:b/>
          <w:sz w:val="20"/>
          <w:szCs w:val="24"/>
        </w:rPr>
        <w:t>Ilustración 8</w:t>
      </w:r>
      <w:r w:rsidRPr="008205DC">
        <w:rPr>
          <w:rFonts w:ascii="Times New Roman" w:hAnsi="Times New Roman"/>
          <w:b/>
          <w:sz w:val="20"/>
          <w:szCs w:val="24"/>
        </w:rPr>
        <w:t>:</w:t>
      </w:r>
      <w:r w:rsidR="00860394" w:rsidRPr="008205DC">
        <w:rPr>
          <w:rFonts w:ascii="Times New Roman" w:hAnsi="Times New Roman"/>
          <w:sz w:val="20"/>
          <w:szCs w:val="24"/>
        </w:rPr>
        <w:t xml:space="preserve"> Concentraciones de turbidez en tres puntos de la cuenca media del río Portoviejo</w:t>
      </w:r>
    </w:p>
    <w:p w:rsidR="00860394" w:rsidRPr="00860394" w:rsidRDefault="00860394" w:rsidP="00860394">
      <w:pPr>
        <w:spacing w:after="0" w:line="360" w:lineRule="auto"/>
        <w:jc w:val="both"/>
        <w:rPr>
          <w:rFonts w:ascii="Times New Roman" w:hAnsi="Times New Roman"/>
          <w:sz w:val="24"/>
          <w:szCs w:val="24"/>
        </w:rPr>
      </w:pPr>
    </w:p>
    <w:p w:rsidR="00860394" w:rsidRPr="008205DC" w:rsidRDefault="00860394" w:rsidP="00860394">
      <w:pPr>
        <w:spacing w:after="0" w:line="360" w:lineRule="auto"/>
        <w:jc w:val="both"/>
        <w:rPr>
          <w:rFonts w:ascii="Times New Roman" w:hAnsi="Times New Roman"/>
          <w:b/>
          <w:sz w:val="24"/>
          <w:szCs w:val="24"/>
        </w:rPr>
      </w:pPr>
      <w:r w:rsidRPr="008205DC">
        <w:rPr>
          <w:rFonts w:ascii="Times New Roman" w:hAnsi="Times New Roman"/>
          <w:b/>
          <w:sz w:val="24"/>
          <w:szCs w:val="24"/>
        </w:rPr>
        <w:t>Solidos totales disueltos (STD): Resultados Obtenidos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De acuerdo a los resultados obtenidos del parámetro STD, según la ilustración N° 9, se puede evidenciar que va en aumento con el paso de la ciudad, del punto uno al tres, siendo el pico más alto el punto tres que es en el puente Mejía. La presencia de altas cantidades de sólidos disueltos totales puede cambiar la calidad del agua, provocando que esta tenga un sabor amargo a metal o salado; además, los sólidos disueltos afectan la penetración de luz en la columna de agua y la absorción selectiva de las diferentes longitudes de onda que integran el espectro visible. (Carrillo &amp; </w:t>
      </w:r>
      <w:proofErr w:type="spellStart"/>
      <w:r w:rsidRPr="00860394">
        <w:rPr>
          <w:rFonts w:ascii="Times New Roman" w:hAnsi="Times New Roman"/>
          <w:sz w:val="24"/>
          <w:szCs w:val="24"/>
        </w:rPr>
        <w:t>Urgilés</w:t>
      </w:r>
      <w:proofErr w:type="spellEnd"/>
      <w:r w:rsidRPr="00860394">
        <w:rPr>
          <w:rFonts w:ascii="Times New Roman" w:hAnsi="Times New Roman"/>
          <w:sz w:val="24"/>
          <w:szCs w:val="24"/>
        </w:rPr>
        <w:t>, 2016)</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 </w:t>
      </w:r>
    </w:p>
    <w:p w:rsidR="00860394" w:rsidRPr="008205DC" w:rsidRDefault="008205DC" w:rsidP="008205DC">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8992" behindDoc="0" locked="0" layoutInCell="1" hidden="0" allowOverlap="1" wp14:anchorId="1048EBB2" wp14:editId="5886C86E">
            <wp:simplePos x="0" y="0"/>
            <wp:positionH relativeFrom="column">
              <wp:posOffset>770890</wp:posOffset>
            </wp:positionH>
            <wp:positionV relativeFrom="paragraph">
              <wp:posOffset>196215</wp:posOffset>
            </wp:positionV>
            <wp:extent cx="4676775" cy="1666875"/>
            <wp:effectExtent l="0" t="0" r="9525" b="9525"/>
            <wp:wrapTopAndBottom/>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860394" w:rsidRPr="008205DC">
        <w:rPr>
          <w:rFonts w:ascii="Times New Roman" w:hAnsi="Times New Roman"/>
          <w:b/>
          <w:sz w:val="20"/>
          <w:szCs w:val="24"/>
        </w:rPr>
        <w:t>Ilustración 9</w:t>
      </w:r>
      <w:r w:rsidRPr="008205DC">
        <w:rPr>
          <w:rFonts w:ascii="Times New Roman" w:hAnsi="Times New Roman"/>
          <w:b/>
          <w:sz w:val="20"/>
          <w:szCs w:val="24"/>
        </w:rPr>
        <w:t>:</w:t>
      </w:r>
      <w:r w:rsidR="00860394" w:rsidRPr="008205DC">
        <w:rPr>
          <w:rFonts w:ascii="Times New Roman" w:hAnsi="Times New Roman"/>
          <w:sz w:val="20"/>
          <w:szCs w:val="24"/>
        </w:rPr>
        <w:t xml:space="preserve"> Concentraciones de sólidos totales disueltos en tres puntos de la cuenca media del río Portoviejo</w:t>
      </w:r>
    </w:p>
    <w:p w:rsidR="008205DC" w:rsidRPr="00860394" w:rsidRDefault="008205DC" w:rsidP="00860394">
      <w:pPr>
        <w:spacing w:after="0" w:line="360" w:lineRule="auto"/>
        <w:jc w:val="both"/>
        <w:rPr>
          <w:rFonts w:ascii="Times New Roman" w:hAnsi="Times New Roman"/>
          <w:sz w:val="24"/>
          <w:szCs w:val="24"/>
        </w:rPr>
      </w:pPr>
    </w:p>
    <w:p w:rsidR="00860394" w:rsidRPr="008205DC" w:rsidRDefault="00860394" w:rsidP="00860394">
      <w:pPr>
        <w:spacing w:after="0" w:line="360" w:lineRule="auto"/>
        <w:jc w:val="both"/>
        <w:rPr>
          <w:rFonts w:ascii="Times New Roman" w:hAnsi="Times New Roman"/>
          <w:b/>
          <w:sz w:val="24"/>
          <w:szCs w:val="24"/>
        </w:rPr>
      </w:pPr>
      <w:r w:rsidRPr="008205DC">
        <w:rPr>
          <w:rFonts w:ascii="Times New Roman" w:hAnsi="Times New Roman"/>
          <w:b/>
          <w:sz w:val="24"/>
          <w:szCs w:val="24"/>
        </w:rPr>
        <w:t>Oxígeno Disuelto (OD): Resultados Obtenidos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 Conforme a los resultados obtenidos del parámetro OD, según la ilustración 10, se puede evidenciar, que según recorre   la ciudad disminuye la concentración de Oxígeno Disuelto desde el punto uno al tres, siendo el punto más bajo el punto 3 en el puente Mejía. La medida de oxígeno disuelto expresa información sobre las reacciones biológicas y bioquímicas que ocurren en las aguas. Niveles bajos de oxígeno disuelto pueden ser causados por vertidos con carga orgánica como materia animal y vegetal ya que las bacterias requieren oxígeno para descomponer la materia orgánica y por lo tanto disminuyen el oxígeno del agua, alterando toda la estructura del sistema acuático. (Carrillo &amp; </w:t>
      </w:r>
      <w:proofErr w:type="spellStart"/>
      <w:r w:rsidRPr="00860394">
        <w:rPr>
          <w:rFonts w:ascii="Times New Roman" w:hAnsi="Times New Roman"/>
          <w:sz w:val="24"/>
          <w:szCs w:val="24"/>
        </w:rPr>
        <w:t>Urgilés</w:t>
      </w:r>
      <w:proofErr w:type="spellEnd"/>
      <w:r w:rsidRPr="00860394">
        <w:rPr>
          <w:rFonts w:ascii="Times New Roman" w:hAnsi="Times New Roman"/>
          <w:sz w:val="24"/>
          <w:szCs w:val="24"/>
        </w:rPr>
        <w:t xml:space="preserve">, 2016)  </w:t>
      </w: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Se hace evidente que la mayoría de los nueve parámetros tomados como referencia para el cálculo del ICA-NSF se deteriora a lo largo de la sección estudiada del río. A continuación, en la tabla 6 , se expone el resumen de los ICA-NSF obtenidos, en el punto 1 que corresponde al puente San Ignacio con una calidad “media”; en el punto 2, en el puente Puerto Real, una calidad “media”; y en el punto 3 una calidad “mala”</w:t>
      </w:r>
    </w:p>
    <w:p w:rsidR="008205DC" w:rsidRPr="008205DC" w:rsidRDefault="008205DC" w:rsidP="00860394">
      <w:pPr>
        <w:spacing w:after="0" w:line="360" w:lineRule="auto"/>
        <w:jc w:val="both"/>
        <w:rPr>
          <w:rFonts w:ascii="Times New Roman" w:hAnsi="Times New Roman"/>
          <w:sz w:val="20"/>
          <w:szCs w:val="24"/>
        </w:rPr>
      </w:pPr>
    </w:p>
    <w:p w:rsidR="00860394" w:rsidRPr="008205DC" w:rsidRDefault="008205DC" w:rsidP="008205DC">
      <w:pPr>
        <w:spacing w:after="0" w:line="360" w:lineRule="auto"/>
        <w:jc w:val="center"/>
        <w:rPr>
          <w:rFonts w:ascii="Times New Roman" w:hAnsi="Times New Roman"/>
          <w:sz w:val="20"/>
          <w:szCs w:val="24"/>
        </w:rPr>
      </w:pPr>
      <w:r w:rsidRPr="008205DC">
        <w:rPr>
          <w:rFonts w:ascii="Times New Roman" w:hAnsi="Times New Roman"/>
          <w:b/>
          <w:sz w:val="20"/>
          <w:szCs w:val="24"/>
        </w:rPr>
        <w:t>Tabla 6:</w:t>
      </w:r>
      <w:r w:rsidR="00860394" w:rsidRPr="008205DC">
        <w:rPr>
          <w:rFonts w:ascii="Times New Roman" w:hAnsi="Times New Roman"/>
          <w:sz w:val="20"/>
          <w:szCs w:val="24"/>
        </w:rPr>
        <w:t xml:space="preserve"> Resultados del ICA en los tres puntos tomados en las muestras</w:t>
      </w:r>
    </w:p>
    <w:tbl>
      <w:tblPr>
        <w:tblW w:w="8051" w:type="dxa"/>
        <w:jc w:val="center"/>
        <w:tblBorders>
          <w:top w:val="single" w:sz="8" w:space="0" w:color="000000"/>
          <w:bottom w:val="single" w:sz="8" w:space="0" w:color="000000"/>
        </w:tblBorders>
        <w:tblLayout w:type="fixed"/>
        <w:tblLook w:val="04A0" w:firstRow="1" w:lastRow="0" w:firstColumn="1" w:lastColumn="0" w:noHBand="0" w:noVBand="1"/>
      </w:tblPr>
      <w:tblGrid>
        <w:gridCol w:w="1817"/>
        <w:gridCol w:w="1337"/>
        <w:gridCol w:w="1119"/>
        <w:gridCol w:w="1337"/>
        <w:gridCol w:w="1104"/>
        <w:gridCol w:w="1337"/>
      </w:tblGrid>
      <w:tr w:rsidR="008205DC" w:rsidRPr="008205DC" w:rsidTr="008205DC">
        <w:trPr>
          <w:jc w:val="center"/>
        </w:trPr>
        <w:tc>
          <w:tcPr>
            <w:tcW w:w="3155" w:type="dxa"/>
            <w:gridSpan w:val="2"/>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1 (San Ignacio)</w:t>
            </w:r>
          </w:p>
        </w:tc>
        <w:tc>
          <w:tcPr>
            <w:tcW w:w="2456" w:type="dxa"/>
            <w:gridSpan w:val="2"/>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2 (Puerto Real)</w:t>
            </w:r>
          </w:p>
        </w:tc>
        <w:tc>
          <w:tcPr>
            <w:tcW w:w="2441" w:type="dxa"/>
            <w:gridSpan w:val="2"/>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3 (Mejía)</w:t>
            </w:r>
          </w:p>
        </w:tc>
      </w:tr>
      <w:tr w:rsidR="008205DC" w:rsidRPr="008205DC" w:rsidTr="008205DC">
        <w:trPr>
          <w:jc w:val="center"/>
        </w:trPr>
        <w:tc>
          <w:tcPr>
            <w:tcW w:w="1818" w:type="dxa"/>
          </w:tcPr>
          <w:p w:rsidR="008205DC" w:rsidRPr="008205DC" w:rsidRDefault="008205DC" w:rsidP="008205DC">
            <w:pPr>
              <w:spacing w:after="0" w:line="276" w:lineRule="auto"/>
              <w:rPr>
                <w:rFonts w:ascii="Times New Roman" w:hAnsi="Times New Roman"/>
                <w:sz w:val="20"/>
                <w:szCs w:val="20"/>
              </w:rPr>
            </w:pPr>
            <w:r w:rsidRPr="008205DC">
              <w:rPr>
                <w:rFonts w:ascii="Times New Roman" w:hAnsi="Times New Roman"/>
                <w:sz w:val="20"/>
                <w:szCs w:val="20"/>
              </w:rPr>
              <w:t>ICA</w:t>
            </w:r>
          </w:p>
        </w:tc>
        <w:tc>
          <w:tcPr>
            <w:tcW w:w="1337" w:type="dxa"/>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CALIDAD</w:t>
            </w:r>
          </w:p>
        </w:tc>
        <w:tc>
          <w:tcPr>
            <w:tcW w:w="1119" w:type="dxa"/>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ICA</w:t>
            </w:r>
          </w:p>
        </w:tc>
        <w:tc>
          <w:tcPr>
            <w:tcW w:w="1337" w:type="dxa"/>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CALIDAD</w:t>
            </w:r>
          </w:p>
        </w:tc>
        <w:tc>
          <w:tcPr>
            <w:tcW w:w="1104" w:type="dxa"/>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ICA</w:t>
            </w:r>
          </w:p>
        </w:tc>
        <w:tc>
          <w:tcPr>
            <w:tcW w:w="1337" w:type="dxa"/>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CALIDAD</w:t>
            </w:r>
          </w:p>
        </w:tc>
      </w:tr>
      <w:tr w:rsidR="008205DC" w:rsidRPr="008205DC" w:rsidTr="008205DC">
        <w:trPr>
          <w:jc w:val="center"/>
        </w:trPr>
        <w:tc>
          <w:tcPr>
            <w:tcW w:w="1818" w:type="dxa"/>
          </w:tcPr>
          <w:p w:rsidR="008205DC" w:rsidRPr="008205DC" w:rsidRDefault="008205DC" w:rsidP="008205DC">
            <w:pPr>
              <w:spacing w:after="0" w:line="276" w:lineRule="auto"/>
              <w:rPr>
                <w:rFonts w:ascii="Times New Roman" w:hAnsi="Times New Roman"/>
                <w:sz w:val="20"/>
                <w:szCs w:val="20"/>
              </w:rPr>
            </w:pPr>
            <w:r w:rsidRPr="008205DC">
              <w:rPr>
                <w:rFonts w:ascii="Times New Roman" w:hAnsi="Times New Roman"/>
                <w:sz w:val="20"/>
                <w:szCs w:val="20"/>
              </w:rPr>
              <w:t>69,97</w:t>
            </w:r>
          </w:p>
        </w:tc>
        <w:tc>
          <w:tcPr>
            <w:tcW w:w="1337" w:type="dxa"/>
            <w:shd w:val="clear" w:color="auto" w:fill="FFFF00"/>
          </w:tcPr>
          <w:p w:rsidR="008205DC" w:rsidRPr="008205DC" w:rsidRDefault="008205DC" w:rsidP="008205DC">
            <w:pPr>
              <w:spacing w:after="0" w:line="276" w:lineRule="auto"/>
              <w:jc w:val="center"/>
              <w:rPr>
                <w:rFonts w:ascii="Times New Roman" w:hAnsi="Times New Roman"/>
                <w:b/>
                <w:sz w:val="20"/>
                <w:szCs w:val="20"/>
              </w:rPr>
            </w:pPr>
            <w:r w:rsidRPr="008205DC">
              <w:rPr>
                <w:rFonts w:ascii="Times New Roman" w:hAnsi="Times New Roman"/>
                <w:b/>
                <w:sz w:val="20"/>
                <w:szCs w:val="20"/>
              </w:rPr>
              <w:t>Media</w:t>
            </w:r>
          </w:p>
        </w:tc>
        <w:tc>
          <w:tcPr>
            <w:tcW w:w="1119" w:type="dxa"/>
            <w:shd w:val="clear" w:color="auto" w:fill="auto"/>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60,11</w:t>
            </w:r>
          </w:p>
        </w:tc>
        <w:tc>
          <w:tcPr>
            <w:tcW w:w="1337" w:type="dxa"/>
            <w:shd w:val="clear" w:color="auto" w:fill="FFFF00"/>
          </w:tcPr>
          <w:p w:rsidR="008205DC" w:rsidRPr="008205DC" w:rsidRDefault="008205DC" w:rsidP="008205DC">
            <w:pPr>
              <w:spacing w:after="0" w:line="276" w:lineRule="auto"/>
              <w:jc w:val="center"/>
              <w:rPr>
                <w:rFonts w:ascii="Times New Roman" w:hAnsi="Times New Roman"/>
                <w:b/>
                <w:sz w:val="20"/>
                <w:szCs w:val="20"/>
              </w:rPr>
            </w:pPr>
            <w:r w:rsidRPr="008205DC">
              <w:rPr>
                <w:rFonts w:ascii="Times New Roman" w:hAnsi="Times New Roman"/>
                <w:b/>
                <w:sz w:val="20"/>
                <w:szCs w:val="20"/>
                <w:highlight w:val="yellow"/>
              </w:rPr>
              <w:t>Media</w:t>
            </w:r>
          </w:p>
        </w:tc>
        <w:tc>
          <w:tcPr>
            <w:tcW w:w="1104" w:type="dxa"/>
          </w:tcPr>
          <w:p w:rsidR="008205DC" w:rsidRPr="008205DC" w:rsidRDefault="008205DC" w:rsidP="008205DC">
            <w:pPr>
              <w:spacing w:after="0" w:line="276" w:lineRule="auto"/>
              <w:jc w:val="center"/>
              <w:rPr>
                <w:rFonts w:ascii="Times New Roman" w:hAnsi="Times New Roman"/>
                <w:sz w:val="20"/>
                <w:szCs w:val="20"/>
              </w:rPr>
            </w:pPr>
            <w:r w:rsidRPr="008205DC">
              <w:rPr>
                <w:rFonts w:ascii="Times New Roman" w:hAnsi="Times New Roman"/>
                <w:sz w:val="20"/>
                <w:szCs w:val="20"/>
              </w:rPr>
              <w:t>43,26</w:t>
            </w:r>
          </w:p>
        </w:tc>
        <w:tc>
          <w:tcPr>
            <w:tcW w:w="1337" w:type="dxa"/>
            <w:shd w:val="clear" w:color="auto" w:fill="auto"/>
          </w:tcPr>
          <w:p w:rsidR="008205DC" w:rsidRPr="008205DC" w:rsidRDefault="008205DC" w:rsidP="008205DC">
            <w:pPr>
              <w:spacing w:after="0" w:line="276" w:lineRule="auto"/>
              <w:jc w:val="center"/>
              <w:rPr>
                <w:rFonts w:ascii="Times New Roman" w:hAnsi="Times New Roman"/>
                <w:b/>
                <w:sz w:val="20"/>
                <w:szCs w:val="20"/>
              </w:rPr>
            </w:pPr>
            <w:r w:rsidRPr="008205DC">
              <w:rPr>
                <w:rFonts w:ascii="Times New Roman" w:hAnsi="Times New Roman"/>
                <w:b/>
                <w:sz w:val="20"/>
                <w:szCs w:val="20"/>
              </w:rPr>
              <w:t>Mala</w:t>
            </w:r>
          </w:p>
        </w:tc>
      </w:tr>
    </w:tbl>
    <w:p w:rsidR="00860394" w:rsidRPr="008205DC" w:rsidRDefault="00860394" w:rsidP="008205DC">
      <w:pPr>
        <w:spacing w:after="0" w:line="360" w:lineRule="auto"/>
        <w:jc w:val="center"/>
        <w:rPr>
          <w:rFonts w:ascii="Times New Roman" w:hAnsi="Times New Roman"/>
          <w:sz w:val="18"/>
          <w:szCs w:val="24"/>
        </w:rPr>
      </w:pPr>
      <w:r w:rsidRPr="008205DC">
        <w:rPr>
          <w:rFonts w:ascii="Times New Roman" w:hAnsi="Times New Roman"/>
          <w:b/>
          <w:sz w:val="18"/>
          <w:szCs w:val="24"/>
        </w:rPr>
        <w:t>Fuente:</w:t>
      </w:r>
      <w:r w:rsidRPr="008205DC">
        <w:rPr>
          <w:rFonts w:ascii="Times New Roman" w:hAnsi="Times New Roman"/>
          <w:sz w:val="18"/>
          <w:szCs w:val="24"/>
        </w:rPr>
        <w:t xml:space="preserve"> Elaboración propia</w:t>
      </w:r>
    </w:p>
    <w:p w:rsidR="008205DC" w:rsidRPr="008205DC" w:rsidRDefault="008205DC" w:rsidP="00860394">
      <w:pPr>
        <w:spacing w:after="0" w:line="360" w:lineRule="auto"/>
        <w:jc w:val="both"/>
        <w:rPr>
          <w:rFonts w:ascii="Times New Roman" w:hAnsi="Times New Roman"/>
          <w:szCs w:val="24"/>
        </w:rPr>
      </w:pPr>
    </w:p>
    <w:p w:rsidR="00860394" w:rsidRPr="008205DC" w:rsidRDefault="00860394" w:rsidP="00860394">
      <w:pPr>
        <w:spacing w:after="0" w:line="360" w:lineRule="auto"/>
        <w:jc w:val="both"/>
        <w:rPr>
          <w:rFonts w:ascii="Times New Roman" w:hAnsi="Times New Roman"/>
          <w:b/>
          <w:sz w:val="24"/>
          <w:szCs w:val="24"/>
        </w:rPr>
      </w:pPr>
      <w:r w:rsidRPr="008205DC">
        <w:rPr>
          <w:rFonts w:ascii="Times New Roman" w:hAnsi="Times New Roman"/>
          <w:b/>
          <w:sz w:val="24"/>
          <w:szCs w:val="24"/>
        </w:rPr>
        <w:t>Discusión de los resultados obtenidos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El aumento en   los parámetros de   nitratos y fosfatos encontrados, se debe al vertimiento de fertilizantes y pesticidas utilizados en la actividad agrícola, además de desechos de lavanderías y lubricadoras. Prácticas que son perjudiciales para la salud, que al ser ingeridos por el ser humano trae como consecuencias enfermedades de tipo gastroenteritis, cefaleas, malformaciones fetales, enfermedades de tipo vectoriales, incluso hasta la muerte. </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La proliferación excesiva de lechuguinos en el puente Mejía denotan la disminución significante del oxígeno en el agua, ya que en esa zona se encuentra un embalse artificial evitando que el agua fluya libremente, disminuyendo significativamente la velocidad del agua.</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Como se puede apreciar en la tabla 6, la calidad del agua va decreciendo en el curso del cauce del río Portoviejo, en el orden de 60,97; 60,11 y 43,26 desde el punto uno al punto tres respectivamente. Se hace notorio que la mayoría de los nueve parámetros tomados como referencia para el cálculo del ICA, se deterioran a lo largo de la sección estudiada, pasando por las zonas pobladas.</w:t>
      </w: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En ninguno de los tramos evaluados los resultados de los ICA se pueden considerar de buena calidad, a partir del punto 2 en el puente Puerto Real, el ICA pasa del rango Medio a Malo. Este deterioro tiene mucho que ver con los vertidos clandestinos y constantes de aguas negras, basuras y animales arrojados al margen del río Portoviejo. El Departamento ambiental del GADM del cantón Portoviejo, en el año 2019, clausuró 28 descargas clandestinas de aguas negras, ubicadas en las parroquias Andrés de Vera, Simón Bolívar, y Francisco Pacheco coincidiendo con la escasa cobertura del sistema de alcantarillado sanitario, y el incremento poblacional de los cantones que se nutren con la cuenca.</w:t>
      </w:r>
    </w:p>
    <w:p w:rsidR="008205DC" w:rsidRPr="00860394" w:rsidRDefault="008205DC" w:rsidP="00860394">
      <w:pPr>
        <w:spacing w:after="0" w:line="360" w:lineRule="auto"/>
        <w:jc w:val="both"/>
        <w:rPr>
          <w:rFonts w:ascii="Times New Roman" w:hAnsi="Times New Roman"/>
          <w:sz w:val="24"/>
          <w:szCs w:val="24"/>
        </w:rPr>
      </w:pPr>
    </w:p>
    <w:p w:rsidR="00860394" w:rsidRPr="008205DC" w:rsidRDefault="00860394" w:rsidP="00860394">
      <w:pPr>
        <w:spacing w:after="0" w:line="360" w:lineRule="auto"/>
        <w:jc w:val="both"/>
        <w:rPr>
          <w:rFonts w:ascii="Times New Roman" w:hAnsi="Times New Roman"/>
          <w:b/>
          <w:sz w:val="24"/>
          <w:szCs w:val="24"/>
        </w:rPr>
      </w:pPr>
      <w:r w:rsidRPr="008205DC">
        <w:rPr>
          <w:rFonts w:ascii="Times New Roman" w:hAnsi="Times New Roman"/>
          <w:b/>
          <w:sz w:val="24"/>
          <w:szCs w:val="24"/>
        </w:rPr>
        <w:t>Estrategias a realizar</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A la luz de </w:t>
      </w:r>
      <w:proofErr w:type="gramStart"/>
      <w:r w:rsidRPr="00860394">
        <w:rPr>
          <w:rFonts w:ascii="Times New Roman" w:hAnsi="Times New Roman"/>
          <w:sz w:val="24"/>
          <w:szCs w:val="24"/>
        </w:rPr>
        <w:t>los  resultados</w:t>
      </w:r>
      <w:proofErr w:type="gramEnd"/>
      <w:r w:rsidRPr="00860394">
        <w:rPr>
          <w:rFonts w:ascii="Times New Roman" w:hAnsi="Times New Roman"/>
          <w:sz w:val="24"/>
          <w:szCs w:val="24"/>
        </w:rPr>
        <w:t xml:space="preserve"> obtenidos sobre la calidad del agua en la cuenca media del río Portoviejo, es fundamental la implementación de estrategias para mitigar esta problemática ambiental. A este respecto, como un marco de orientación general a las acciones específicas para llegar a atenuar esta problemática, se presentan algunas consideraciones:</w:t>
      </w:r>
    </w:p>
    <w:p w:rsidR="00860394" w:rsidRPr="008205DC" w:rsidRDefault="00860394" w:rsidP="008205DC">
      <w:pPr>
        <w:pStyle w:val="Prrafodelista"/>
        <w:numPr>
          <w:ilvl w:val="0"/>
          <w:numId w:val="36"/>
        </w:numPr>
        <w:spacing w:after="0" w:line="360" w:lineRule="auto"/>
        <w:ind w:left="284" w:hanging="218"/>
        <w:jc w:val="both"/>
        <w:rPr>
          <w:rFonts w:ascii="Times New Roman" w:hAnsi="Times New Roman"/>
          <w:sz w:val="24"/>
          <w:szCs w:val="24"/>
        </w:rPr>
      </w:pPr>
      <w:r w:rsidRPr="008205DC">
        <w:rPr>
          <w:rFonts w:ascii="Times New Roman" w:hAnsi="Times New Roman"/>
          <w:sz w:val="24"/>
          <w:szCs w:val="24"/>
        </w:rPr>
        <w:t xml:space="preserve">El ordenamiento territorial, planificación regional, urbana, económica y ambiental, </w:t>
      </w:r>
      <w:proofErr w:type="gramStart"/>
      <w:r w:rsidRPr="008205DC">
        <w:rPr>
          <w:rFonts w:ascii="Times New Roman" w:hAnsi="Times New Roman"/>
          <w:sz w:val="24"/>
          <w:szCs w:val="24"/>
        </w:rPr>
        <w:t>son  partes</w:t>
      </w:r>
      <w:proofErr w:type="gramEnd"/>
      <w:r w:rsidRPr="008205DC">
        <w:rPr>
          <w:rFonts w:ascii="Times New Roman" w:hAnsi="Times New Roman"/>
          <w:sz w:val="24"/>
          <w:szCs w:val="24"/>
        </w:rPr>
        <w:t xml:space="preserve"> importantes  para la implementación de proyectos estratégicos, y su financiamiento por parte   del gobierno nacional y entes extranjeros, en los últimos quince años (López, 2015).</w:t>
      </w:r>
    </w:p>
    <w:p w:rsidR="00860394" w:rsidRPr="008205DC" w:rsidRDefault="00860394" w:rsidP="008205DC">
      <w:pPr>
        <w:pStyle w:val="Prrafodelista"/>
        <w:numPr>
          <w:ilvl w:val="0"/>
          <w:numId w:val="36"/>
        </w:numPr>
        <w:spacing w:after="0" w:line="360" w:lineRule="auto"/>
        <w:ind w:left="284" w:hanging="218"/>
        <w:jc w:val="both"/>
        <w:rPr>
          <w:rFonts w:ascii="Times New Roman" w:hAnsi="Times New Roman"/>
          <w:sz w:val="24"/>
          <w:szCs w:val="24"/>
        </w:rPr>
      </w:pPr>
      <w:r w:rsidRPr="008205DC">
        <w:rPr>
          <w:rFonts w:ascii="Times New Roman" w:hAnsi="Times New Roman"/>
          <w:sz w:val="24"/>
          <w:szCs w:val="24"/>
        </w:rPr>
        <w:t xml:space="preserve">Incrementar la cobertura de alcantarillados sanitarios, primordialmente en parroquias de Portoviejo como </w:t>
      </w:r>
      <w:proofErr w:type="spellStart"/>
      <w:r w:rsidRPr="008205DC">
        <w:rPr>
          <w:rFonts w:ascii="Times New Roman" w:hAnsi="Times New Roman"/>
          <w:sz w:val="24"/>
          <w:szCs w:val="24"/>
        </w:rPr>
        <w:t>Picoaza</w:t>
      </w:r>
      <w:proofErr w:type="spellEnd"/>
      <w:r w:rsidRPr="008205DC">
        <w:rPr>
          <w:rFonts w:ascii="Times New Roman" w:hAnsi="Times New Roman"/>
          <w:sz w:val="24"/>
          <w:szCs w:val="24"/>
        </w:rPr>
        <w:t xml:space="preserve"> y Colón, con alta emisión de desechos sanitaros por su gran densidad poblacional y actividades económicas (comercio, agricultura y ganadería).</w:t>
      </w:r>
    </w:p>
    <w:p w:rsidR="00860394" w:rsidRPr="008205DC" w:rsidRDefault="00860394" w:rsidP="008205DC">
      <w:pPr>
        <w:pStyle w:val="Prrafodelista"/>
        <w:numPr>
          <w:ilvl w:val="0"/>
          <w:numId w:val="36"/>
        </w:numPr>
        <w:spacing w:after="0" w:line="360" w:lineRule="auto"/>
        <w:ind w:left="284" w:hanging="218"/>
        <w:jc w:val="both"/>
        <w:rPr>
          <w:rFonts w:ascii="Times New Roman" w:hAnsi="Times New Roman"/>
          <w:sz w:val="24"/>
          <w:szCs w:val="24"/>
        </w:rPr>
      </w:pPr>
      <w:r w:rsidRPr="008205DC">
        <w:rPr>
          <w:rFonts w:ascii="Times New Roman" w:hAnsi="Times New Roman"/>
          <w:sz w:val="24"/>
          <w:szCs w:val="24"/>
        </w:rPr>
        <w:t>Mantenimiento de sistemas de alcantarillado sanitario, cambio de colectores, emisarios, líneas de conducción, terciarias, pozos de revisión, que ya han cumplido con su vida útil principalmente en la parroquia Andrés de Vera.</w:t>
      </w:r>
    </w:p>
    <w:p w:rsidR="00860394" w:rsidRPr="008205DC" w:rsidRDefault="00860394" w:rsidP="008205DC">
      <w:pPr>
        <w:pStyle w:val="Prrafodelista"/>
        <w:numPr>
          <w:ilvl w:val="0"/>
          <w:numId w:val="36"/>
        </w:numPr>
        <w:spacing w:after="0" w:line="360" w:lineRule="auto"/>
        <w:ind w:left="284" w:hanging="218"/>
        <w:jc w:val="both"/>
        <w:rPr>
          <w:rFonts w:ascii="Times New Roman" w:hAnsi="Times New Roman"/>
          <w:sz w:val="24"/>
          <w:szCs w:val="24"/>
        </w:rPr>
      </w:pPr>
      <w:r w:rsidRPr="008205DC">
        <w:rPr>
          <w:rFonts w:ascii="Times New Roman" w:hAnsi="Times New Roman"/>
          <w:sz w:val="24"/>
          <w:szCs w:val="24"/>
        </w:rPr>
        <w:t>Restauración de ecosistemas ribereños, recuperando la vegetación nativa y la remoción de pasto.</w:t>
      </w:r>
    </w:p>
    <w:p w:rsidR="00860394" w:rsidRPr="008205DC" w:rsidRDefault="00860394" w:rsidP="008205DC">
      <w:pPr>
        <w:pStyle w:val="Prrafodelista"/>
        <w:numPr>
          <w:ilvl w:val="0"/>
          <w:numId w:val="36"/>
        </w:numPr>
        <w:spacing w:after="0" w:line="360" w:lineRule="auto"/>
        <w:ind w:left="284" w:hanging="218"/>
        <w:jc w:val="both"/>
        <w:rPr>
          <w:rFonts w:ascii="Times New Roman" w:hAnsi="Times New Roman"/>
          <w:sz w:val="24"/>
          <w:szCs w:val="24"/>
        </w:rPr>
      </w:pPr>
      <w:r w:rsidRPr="008205DC">
        <w:rPr>
          <w:rFonts w:ascii="Times New Roman" w:hAnsi="Times New Roman"/>
          <w:sz w:val="24"/>
          <w:szCs w:val="24"/>
        </w:rPr>
        <w:t xml:space="preserve">Protección de microcuencas y laderas con arborización, que sujeten la tierra y controlen el tema de erosión. </w:t>
      </w:r>
    </w:p>
    <w:p w:rsidR="00860394" w:rsidRPr="008205DC" w:rsidRDefault="00860394" w:rsidP="008205DC">
      <w:pPr>
        <w:pStyle w:val="Prrafodelista"/>
        <w:numPr>
          <w:ilvl w:val="0"/>
          <w:numId w:val="36"/>
        </w:numPr>
        <w:spacing w:after="0" w:line="360" w:lineRule="auto"/>
        <w:ind w:left="284" w:hanging="218"/>
        <w:jc w:val="both"/>
        <w:rPr>
          <w:rFonts w:ascii="Times New Roman" w:hAnsi="Times New Roman"/>
          <w:sz w:val="24"/>
          <w:szCs w:val="24"/>
        </w:rPr>
      </w:pPr>
      <w:r w:rsidRPr="008205DC">
        <w:rPr>
          <w:rFonts w:ascii="Times New Roman" w:hAnsi="Times New Roman"/>
          <w:sz w:val="24"/>
          <w:szCs w:val="24"/>
        </w:rPr>
        <w:t xml:space="preserve">Disminución del uso de plaguicidas químicos, asesorando a los agricultores con nuevos productos amigables al medio ambiente, como lo indica Pérez et al. (2010), ya están siendo utilizados a mayor escala por la Unión  Europa y Cuba, entre las opciones están: trampas cromáticas, insecticidas ecológicos en  elaborados  a partir de  hongos , bacterias y nemátodos </w:t>
      </w:r>
      <w:proofErr w:type="spellStart"/>
      <w:r w:rsidRPr="008205DC">
        <w:rPr>
          <w:rFonts w:ascii="Times New Roman" w:hAnsi="Times New Roman"/>
          <w:sz w:val="24"/>
          <w:szCs w:val="24"/>
        </w:rPr>
        <w:t>entomopatógenos</w:t>
      </w:r>
      <w:proofErr w:type="spellEnd"/>
      <w:r w:rsidRPr="008205DC">
        <w:rPr>
          <w:rFonts w:ascii="Times New Roman" w:hAnsi="Times New Roman"/>
          <w:sz w:val="24"/>
          <w:szCs w:val="24"/>
        </w:rPr>
        <w:t>, utilizando abono orgánico, rotar los cultivos, evitar regar en exceso, inspeccionar las plantas por lo menos una vez por semana eliminando manualmente las posibles plagas, o adaptar la siembra, poda y recolección al ciclo de las plagas y enfermedades, otros remedios “caseros” como la utilización de nicotina, azufre o agua jabonosa sirven para controlar algunas plagas.</w:t>
      </w:r>
    </w:p>
    <w:p w:rsidR="00860394" w:rsidRPr="008205DC" w:rsidRDefault="00860394" w:rsidP="008205DC">
      <w:pPr>
        <w:pStyle w:val="Prrafodelista"/>
        <w:numPr>
          <w:ilvl w:val="0"/>
          <w:numId w:val="36"/>
        </w:numPr>
        <w:spacing w:after="0" w:line="360" w:lineRule="auto"/>
        <w:ind w:left="284" w:hanging="218"/>
        <w:jc w:val="both"/>
        <w:rPr>
          <w:rFonts w:ascii="Times New Roman" w:hAnsi="Times New Roman"/>
          <w:sz w:val="24"/>
          <w:szCs w:val="24"/>
        </w:rPr>
      </w:pPr>
      <w:r w:rsidRPr="008205DC">
        <w:rPr>
          <w:rFonts w:ascii="Times New Roman" w:hAnsi="Times New Roman"/>
          <w:sz w:val="24"/>
          <w:szCs w:val="24"/>
        </w:rPr>
        <w:t xml:space="preserve">Campañas de educación ambiental a todos los sectores. Dada la importancia del desarrollo de campañas de educación ambiental se ha desarrollado un plan para dar cumplimiento a esta acción dentro de la estrategia general. </w:t>
      </w:r>
    </w:p>
    <w:p w:rsid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Las medidas de prevención y control de la contaminación pasan por un tema de incremento de infraestructura pública, ordenamiento territorial y recuperar el ecosistema degradado. Sin embargo, un factor primordial que va a darle la sostenibilidad de esta propuesta a largo plazo está enmarcada en la participación ciudadana, en su capacidad de involucrarse no sólo en reconocer la problemática, en participar en las soluciones, sino también en intervenir en el seguimiento y monitoreo de las medidas, con esto será fundamental mantener estrategias permanentes de educación ambiental a los diversos actores, según Macías (2010) </w:t>
      </w:r>
      <w:proofErr w:type="gramStart"/>
      <w:r w:rsidRPr="00860394">
        <w:rPr>
          <w:rFonts w:ascii="Times New Roman" w:hAnsi="Times New Roman"/>
          <w:sz w:val="24"/>
          <w:szCs w:val="24"/>
        </w:rPr>
        <w:t>se  propone</w:t>
      </w:r>
      <w:proofErr w:type="gramEnd"/>
      <w:r w:rsidRPr="00860394">
        <w:rPr>
          <w:rFonts w:ascii="Times New Roman" w:hAnsi="Times New Roman"/>
          <w:sz w:val="24"/>
          <w:szCs w:val="24"/>
        </w:rPr>
        <w:t xml:space="preserve">: </w:t>
      </w:r>
    </w:p>
    <w:p w:rsidR="008205DC" w:rsidRPr="00860394" w:rsidRDefault="008205DC" w:rsidP="00860394">
      <w:pPr>
        <w:spacing w:after="0" w:line="360" w:lineRule="auto"/>
        <w:jc w:val="both"/>
        <w:rPr>
          <w:rFonts w:ascii="Times New Roman" w:hAnsi="Times New Roman"/>
          <w:sz w:val="24"/>
          <w:szCs w:val="24"/>
        </w:rPr>
      </w:pPr>
    </w:p>
    <w:p w:rsidR="00860394" w:rsidRPr="008205DC" w:rsidRDefault="00860394" w:rsidP="00860394">
      <w:pPr>
        <w:spacing w:after="0" w:line="360" w:lineRule="auto"/>
        <w:jc w:val="both"/>
        <w:rPr>
          <w:rFonts w:ascii="Times New Roman" w:hAnsi="Times New Roman"/>
          <w:b/>
          <w:sz w:val="24"/>
          <w:szCs w:val="24"/>
        </w:rPr>
      </w:pPr>
      <w:r w:rsidRPr="008205DC">
        <w:rPr>
          <w:rFonts w:ascii="Times New Roman" w:hAnsi="Times New Roman"/>
          <w:b/>
          <w:sz w:val="24"/>
          <w:szCs w:val="24"/>
        </w:rPr>
        <w:t xml:space="preserve"> Educación Ambiental al sector I</w:t>
      </w:r>
      <w:r w:rsidR="008205DC">
        <w:rPr>
          <w:rFonts w:ascii="Times New Roman" w:hAnsi="Times New Roman"/>
          <w:b/>
          <w:sz w:val="24"/>
          <w:szCs w:val="24"/>
        </w:rPr>
        <w:t>nstitucional o Gubernamentales</w:t>
      </w:r>
    </w:p>
    <w:p w:rsidR="00860394" w:rsidRPr="008205DC" w:rsidRDefault="00860394" w:rsidP="008205DC">
      <w:pPr>
        <w:pStyle w:val="Prrafodelista"/>
        <w:numPr>
          <w:ilvl w:val="0"/>
          <w:numId w:val="37"/>
        </w:numPr>
        <w:spacing w:after="0" w:line="360" w:lineRule="auto"/>
        <w:jc w:val="both"/>
        <w:rPr>
          <w:rFonts w:ascii="Times New Roman" w:hAnsi="Times New Roman"/>
          <w:sz w:val="24"/>
          <w:szCs w:val="24"/>
        </w:rPr>
      </w:pPr>
      <w:r w:rsidRPr="008205DC">
        <w:rPr>
          <w:rFonts w:ascii="Times New Roman" w:hAnsi="Times New Roman"/>
          <w:sz w:val="24"/>
          <w:szCs w:val="24"/>
        </w:rPr>
        <w:t xml:space="preserve">Eventos de sensibilización de la relación existente entre la calidad del agua en el río y el desarrollo de la región. </w:t>
      </w:r>
    </w:p>
    <w:p w:rsidR="00860394" w:rsidRPr="008205DC" w:rsidRDefault="00860394" w:rsidP="008205DC">
      <w:pPr>
        <w:pStyle w:val="Prrafodelista"/>
        <w:numPr>
          <w:ilvl w:val="0"/>
          <w:numId w:val="37"/>
        </w:numPr>
        <w:spacing w:after="0" w:line="360" w:lineRule="auto"/>
        <w:jc w:val="both"/>
        <w:rPr>
          <w:rFonts w:ascii="Times New Roman" w:hAnsi="Times New Roman"/>
          <w:sz w:val="24"/>
          <w:szCs w:val="24"/>
        </w:rPr>
      </w:pPr>
      <w:r w:rsidRPr="008205DC">
        <w:rPr>
          <w:rFonts w:ascii="Times New Roman" w:hAnsi="Times New Roman"/>
          <w:sz w:val="24"/>
          <w:szCs w:val="24"/>
        </w:rPr>
        <w:t>Gremios o sectores organizados. Programas de sensibilización de la relación río con sus representados.</w:t>
      </w:r>
    </w:p>
    <w:p w:rsidR="00860394" w:rsidRDefault="00860394" w:rsidP="008205DC">
      <w:pPr>
        <w:pStyle w:val="Prrafodelista"/>
        <w:numPr>
          <w:ilvl w:val="0"/>
          <w:numId w:val="37"/>
        </w:numPr>
        <w:spacing w:after="0" w:line="360" w:lineRule="auto"/>
        <w:jc w:val="both"/>
        <w:rPr>
          <w:rFonts w:ascii="Times New Roman" w:hAnsi="Times New Roman"/>
          <w:sz w:val="24"/>
          <w:szCs w:val="24"/>
        </w:rPr>
      </w:pPr>
      <w:r w:rsidRPr="008205DC">
        <w:rPr>
          <w:rFonts w:ascii="Times New Roman" w:hAnsi="Times New Roman"/>
          <w:sz w:val="24"/>
          <w:szCs w:val="24"/>
        </w:rPr>
        <w:t xml:space="preserve">Sector Educativo Formal. Fortalecimiento de las actividades establecidas por parte del Ministerio de Educación en los programas de educación ambiental, implementando e incrementando el conocimiento sobre las agresiones al río y las medidas que se puedan poner en práctica  para evitarlas. </w:t>
      </w:r>
    </w:p>
    <w:p w:rsidR="008205DC" w:rsidRPr="008205DC" w:rsidRDefault="008205DC" w:rsidP="008205DC">
      <w:pPr>
        <w:spacing w:after="0" w:line="360" w:lineRule="auto"/>
        <w:jc w:val="both"/>
        <w:rPr>
          <w:rFonts w:ascii="Times New Roman" w:hAnsi="Times New Roman"/>
          <w:sz w:val="24"/>
          <w:szCs w:val="24"/>
        </w:rPr>
      </w:pPr>
    </w:p>
    <w:p w:rsidR="00860394" w:rsidRPr="008205DC" w:rsidRDefault="00860394" w:rsidP="00860394">
      <w:pPr>
        <w:spacing w:after="0" w:line="360" w:lineRule="auto"/>
        <w:jc w:val="both"/>
        <w:rPr>
          <w:rFonts w:ascii="Times New Roman" w:hAnsi="Times New Roman"/>
          <w:b/>
          <w:sz w:val="24"/>
          <w:szCs w:val="24"/>
        </w:rPr>
      </w:pPr>
      <w:r w:rsidRPr="008205DC">
        <w:rPr>
          <w:rFonts w:ascii="Times New Roman" w:hAnsi="Times New Roman"/>
          <w:b/>
          <w:sz w:val="24"/>
          <w:szCs w:val="24"/>
        </w:rPr>
        <w:t xml:space="preserve"> Buenas Prácticas Ambientales (BPA) en el sector Productivo </w:t>
      </w:r>
    </w:p>
    <w:p w:rsidR="00860394" w:rsidRPr="008205DC" w:rsidRDefault="00860394" w:rsidP="008205DC">
      <w:pPr>
        <w:pStyle w:val="Prrafodelista"/>
        <w:numPr>
          <w:ilvl w:val="0"/>
          <w:numId w:val="38"/>
        </w:numPr>
        <w:spacing w:after="0" w:line="360" w:lineRule="auto"/>
        <w:jc w:val="both"/>
        <w:rPr>
          <w:rFonts w:ascii="Times New Roman" w:hAnsi="Times New Roman"/>
          <w:sz w:val="24"/>
          <w:szCs w:val="24"/>
        </w:rPr>
      </w:pPr>
      <w:r w:rsidRPr="008205DC">
        <w:rPr>
          <w:rFonts w:ascii="Times New Roman" w:hAnsi="Times New Roman"/>
          <w:sz w:val="24"/>
          <w:szCs w:val="24"/>
        </w:rPr>
        <w:t xml:space="preserve">Difundir las Buenas prácticas Ambientales en los sectores: ganaderos, agrícolas, forestales, transporte, entre otros. </w:t>
      </w:r>
    </w:p>
    <w:p w:rsidR="00860394" w:rsidRPr="008205DC" w:rsidRDefault="00860394" w:rsidP="008205DC">
      <w:pPr>
        <w:pStyle w:val="Prrafodelista"/>
        <w:numPr>
          <w:ilvl w:val="0"/>
          <w:numId w:val="38"/>
        </w:numPr>
        <w:spacing w:after="0" w:line="360" w:lineRule="auto"/>
        <w:jc w:val="both"/>
        <w:rPr>
          <w:rFonts w:ascii="Times New Roman" w:hAnsi="Times New Roman"/>
          <w:sz w:val="24"/>
          <w:szCs w:val="24"/>
        </w:rPr>
      </w:pPr>
      <w:r w:rsidRPr="008205DC">
        <w:rPr>
          <w:rFonts w:ascii="Times New Roman" w:hAnsi="Times New Roman"/>
          <w:sz w:val="24"/>
          <w:szCs w:val="24"/>
        </w:rPr>
        <w:t xml:space="preserve">Implementar un sistema de incentivos y reconocimientos a actividades productivas que implementan BPA en sus negocios. </w:t>
      </w:r>
    </w:p>
    <w:p w:rsidR="00860394" w:rsidRPr="008205DC" w:rsidRDefault="00860394" w:rsidP="008205DC">
      <w:pPr>
        <w:pStyle w:val="Prrafodelista"/>
        <w:numPr>
          <w:ilvl w:val="0"/>
          <w:numId w:val="38"/>
        </w:numPr>
        <w:spacing w:after="0" w:line="360" w:lineRule="auto"/>
        <w:jc w:val="both"/>
        <w:rPr>
          <w:rFonts w:ascii="Times New Roman" w:hAnsi="Times New Roman"/>
          <w:sz w:val="24"/>
          <w:szCs w:val="24"/>
        </w:rPr>
      </w:pPr>
      <w:r w:rsidRPr="008205DC">
        <w:rPr>
          <w:rFonts w:ascii="Times New Roman" w:hAnsi="Times New Roman"/>
          <w:sz w:val="24"/>
          <w:szCs w:val="24"/>
        </w:rPr>
        <w:t xml:space="preserve">Desarrollar e implementar la responsabilidad social y ambiental hacia el entorno, en la recuperación de ecosistemas. </w:t>
      </w:r>
    </w:p>
    <w:p w:rsidR="008205DC" w:rsidRPr="00860394" w:rsidRDefault="008205DC" w:rsidP="00860394">
      <w:pPr>
        <w:spacing w:after="0" w:line="360" w:lineRule="auto"/>
        <w:jc w:val="both"/>
        <w:rPr>
          <w:rFonts w:ascii="Times New Roman" w:hAnsi="Times New Roman"/>
          <w:sz w:val="24"/>
          <w:szCs w:val="24"/>
        </w:rPr>
      </w:pPr>
    </w:p>
    <w:p w:rsidR="00860394" w:rsidRPr="008205DC" w:rsidRDefault="00860394" w:rsidP="00860394">
      <w:pPr>
        <w:spacing w:after="0" w:line="360" w:lineRule="auto"/>
        <w:jc w:val="both"/>
        <w:rPr>
          <w:rFonts w:ascii="Times New Roman" w:hAnsi="Times New Roman"/>
          <w:b/>
          <w:sz w:val="24"/>
          <w:szCs w:val="24"/>
        </w:rPr>
      </w:pPr>
      <w:r w:rsidRPr="008205DC">
        <w:rPr>
          <w:rFonts w:ascii="Times New Roman" w:hAnsi="Times New Roman"/>
          <w:b/>
          <w:sz w:val="24"/>
          <w:szCs w:val="24"/>
        </w:rPr>
        <w:t xml:space="preserve"> Educación Ambiental al sector Ciudadano </w:t>
      </w:r>
    </w:p>
    <w:p w:rsidR="00860394" w:rsidRPr="008205DC" w:rsidRDefault="00860394" w:rsidP="008205DC">
      <w:pPr>
        <w:pStyle w:val="Prrafodelista"/>
        <w:numPr>
          <w:ilvl w:val="0"/>
          <w:numId w:val="38"/>
        </w:numPr>
        <w:spacing w:after="0" w:line="360" w:lineRule="auto"/>
        <w:jc w:val="both"/>
        <w:rPr>
          <w:rFonts w:ascii="Times New Roman" w:hAnsi="Times New Roman"/>
          <w:sz w:val="24"/>
          <w:szCs w:val="24"/>
        </w:rPr>
      </w:pPr>
      <w:r w:rsidRPr="008205DC">
        <w:rPr>
          <w:rFonts w:ascii="Times New Roman" w:hAnsi="Times New Roman"/>
          <w:sz w:val="24"/>
          <w:szCs w:val="24"/>
        </w:rPr>
        <w:t xml:space="preserve">Fortaleciendo el rescate de las tradiciones culturales. o incentivando el reconocimiento del ecosistema hídrico como parte del desarrollo y bienestar local. </w:t>
      </w:r>
    </w:p>
    <w:p w:rsidR="00860394" w:rsidRPr="008205DC" w:rsidRDefault="00860394" w:rsidP="008205DC">
      <w:pPr>
        <w:pStyle w:val="Prrafodelista"/>
        <w:numPr>
          <w:ilvl w:val="0"/>
          <w:numId w:val="38"/>
        </w:numPr>
        <w:spacing w:after="0" w:line="360" w:lineRule="auto"/>
        <w:jc w:val="both"/>
        <w:rPr>
          <w:rFonts w:ascii="Times New Roman" w:hAnsi="Times New Roman"/>
          <w:sz w:val="24"/>
          <w:szCs w:val="24"/>
        </w:rPr>
      </w:pPr>
      <w:r w:rsidRPr="008205DC">
        <w:rPr>
          <w:rFonts w:ascii="Times New Roman" w:hAnsi="Times New Roman"/>
          <w:sz w:val="24"/>
          <w:szCs w:val="24"/>
        </w:rPr>
        <w:t xml:space="preserve">Utilizando medios de comunicación masivos informando sobre las acciones que cada ciudadano puede implementar para contribuir con las soluciones. </w:t>
      </w:r>
    </w:p>
    <w:p w:rsidR="00860394" w:rsidRPr="008205DC" w:rsidRDefault="00860394" w:rsidP="008205DC">
      <w:pPr>
        <w:pStyle w:val="Prrafodelista"/>
        <w:numPr>
          <w:ilvl w:val="0"/>
          <w:numId w:val="38"/>
        </w:numPr>
        <w:spacing w:after="0" w:line="360" w:lineRule="auto"/>
        <w:jc w:val="both"/>
        <w:rPr>
          <w:rFonts w:ascii="Times New Roman" w:hAnsi="Times New Roman"/>
          <w:sz w:val="24"/>
          <w:szCs w:val="24"/>
        </w:rPr>
      </w:pPr>
      <w:r w:rsidRPr="008205DC">
        <w:rPr>
          <w:rFonts w:ascii="Times New Roman" w:hAnsi="Times New Roman"/>
          <w:sz w:val="24"/>
          <w:szCs w:val="24"/>
        </w:rPr>
        <w:t>Creándose espacios de participación, veedurías, o discusión donde el tema de la contaminación del río se trate tanto en sus fuentes, como en las alternativas de solución.</w:t>
      </w:r>
    </w:p>
    <w:p w:rsidR="008205DC" w:rsidRDefault="008205DC" w:rsidP="00860394">
      <w:pPr>
        <w:spacing w:after="0" w:line="360" w:lineRule="auto"/>
        <w:jc w:val="both"/>
        <w:rPr>
          <w:rFonts w:ascii="Times New Roman" w:hAnsi="Times New Roman"/>
          <w:sz w:val="24"/>
          <w:szCs w:val="24"/>
        </w:rPr>
      </w:pPr>
    </w:p>
    <w:p w:rsidR="00860394" w:rsidRPr="008205DC" w:rsidRDefault="00860394" w:rsidP="00860394">
      <w:pPr>
        <w:spacing w:after="0" w:line="360" w:lineRule="auto"/>
        <w:jc w:val="both"/>
        <w:rPr>
          <w:rFonts w:ascii="Times New Roman" w:hAnsi="Times New Roman"/>
          <w:b/>
          <w:sz w:val="26"/>
          <w:szCs w:val="26"/>
        </w:rPr>
      </w:pPr>
      <w:r w:rsidRPr="008205DC">
        <w:rPr>
          <w:rFonts w:ascii="Times New Roman" w:hAnsi="Times New Roman"/>
          <w:b/>
          <w:sz w:val="26"/>
          <w:szCs w:val="26"/>
        </w:rPr>
        <w:t>Conclusiones</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hint="eastAsia"/>
          <w:sz w:val="24"/>
          <w:szCs w:val="24"/>
        </w:rPr>
        <w:t xml:space="preserve">Los parámetros </w:t>
      </w:r>
      <w:proofErr w:type="spellStart"/>
      <w:r w:rsidRPr="00860394">
        <w:rPr>
          <w:rFonts w:ascii="Times New Roman" w:hAnsi="Times New Roman" w:hint="eastAsia"/>
          <w:sz w:val="24"/>
          <w:szCs w:val="24"/>
        </w:rPr>
        <w:t>Coliformes</w:t>
      </w:r>
      <w:proofErr w:type="spellEnd"/>
      <w:r w:rsidRPr="00860394">
        <w:rPr>
          <w:rFonts w:ascii="Times New Roman" w:hAnsi="Times New Roman" w:hint="eastAsia"/>
          <w:sz w:val="24"/>
          <w:szCs w:val="24"/>
        </w:rPr>
        <w:t xml:space="preserve"> Fecales y </w:t>
      </w:r>
      <w:r w:rsidRPr="00860394">
        <w:rPr>
          <w:rFonts w:ascii="Times New Roman" w:hAnsi="Times New Roman" w:hint="eastAsia"/>
          <w:sz w:val="24"/>
          <w:szCs w:val="24"/>
        </w:rPr>
        <w:t>〖</w:t>
      </w:r>
      <w:r w:rsidRPr="00860394">
        <w:rPr>
          <w:rFonts w:ascii="Times New Roman" w:hAnsi="Times New Roman" w:hint="eastAsia"/>
          <w:sz w:val="24"/>
          <w:szCs w:val="24"/>
        </w:rPr>
        <w:t>DBO</w:t>
      </w:r>
      <w:r w:rsidRPr="00860394">
        <w:rPr>
          <w:rFonts w:ascii="Times New Roman" w:hAnsi="Times New Roman" w:hint="eastAsia"/>
          <w:sz w:val="24"/>
          <w:szCs w:val="24"/>
        </w:rPr>
        <w:t>〗</w:t>
      </w:r>
      <w:r w:rsidRPr="00860394">
        <w:rPr>
          <w:rFonts w:ascii="Times New Roman" w:hAnsi="Times New Roman" w:hint="eastAsia"/>
          <w:sz w:val="24"/>
          <w:szCs w:val="24"/>
        </w:rPr>
        <w:t>_5, superan los límites permisivos establecidos por la autoridad ambiental reguladora, producto de la contaminación por aguas negras vertidas en el río, debido a la deficiente cobertura de alcantarillado sanitario,</w:t>
      </w:r>
      <w:r w:rsidRPr="00860394">
        <w:rPr>
          <w:rFonts w:ascii="Times New Roman" w:hAnsi="Times New Roman"/>
          <w:sz w:val="24"/>
          <w:szCs w:val="24"/>
        </w:rPr>
        <w:t xml:space="preserve"> y el vertimiento de fertilizantes y pesticidas producido por la agricultura y ganadería.</w:t>
      </w:r>
    </w:p>
    <w:p w:rsidR="00860394" w:rsidRPr="0086039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 xml:space="preserve">En función de los resultados obtenidos del ICA-NSF, en los tres puntos del río Portoviejo, se puede observar que la calidad del agua va disminuyendo conforme avanza en el curso de su cauce, debido principalmente a los vertimientos clandestinos de aguas residuales que existen a lo largo de este afluente. </w:t>
      </w:r>
    </w:p>
    <w:p w:rsidR="00D35154" w:rsidRPr="00D35154" w:rsidRDefault="00860394" w:rsidP="00860394">
      <w:pPr>
        <w:spacing w:after="0" w:line="360" w:lineRule="auto"/>
        <w:jc w:val="both"/>
        <w:rPr>
          <w:rFonts w:ascii="Times New Roman" w:hAnsi="Times New Roman"/>
          <w:sz w:val="24"/>
          <w:szCs w:val="24"/>
        </w:rPr>
      </w:pPr>
      <w:r w:rsidRPr="00860394">
        <w:rPr>
          <w:rFonts w:ascii="Times New Roman" w:hAnsi="Times New Roman"/>
          <w:sz w:val="24"/>
          <w:szCs w:val="24"/>
        </w:rPr>
        <w:t>A la luz de los resultados obtenidos, se precisa del establecimiento de medidas para el control y prevención de la contaminación del agua en la cuenca media del río Portoviejo, así, las medidas de prevención y control de la contaminación pasan por un tema de incremento de infraestructura pública, ordenamiento territorial y recuperar el ecosistema degradado; también es importante la participación ciudadana y; el  seguimiento y monitoreo de las medidas implementadas, entre otras; como forma de contribuir al fortalecimiento de la gestión ambiental de las cuencas hidrográficas del país en general y de esta provincia en particular.</w:t>
      </w:r>
    </w:p>
    <w:p w:rsidR="000205BD" w:rsidRPr="000205BD" w:rsidRDefault="000205BD" w:rsidP="003306B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proofErr w:type="spellStart"/>
      <w:r w:rsidRPr="00BA67FD">
        <w:rPr>
          <w:rFonts w:ascii="Times New Roman" w:hAnsi="Times New Roman"/>
          <w:sz w:val="24"/>
          <w:szCs w:val="23"/>
        </w:rPr>
        <w:t>Ban</w:t>
      </w:r>
      <w:proofErr w:type="spellEnd"/>
      <w:r w:rsidRPr="00BA67FD">
        <w:rPr>
          <w:rFonts w:ascii="Times New Roman" w:hAnsi="Times New Roman"/>
          <w:sz w:val="24"/>
          <w:szCs w:val="23"/>
        </w:rPr>
        <w:t xml:space="preserve"> Ki-</w:t>
      </w:r>
      <w:proofErr w:type="spellStart"/>
      <w:r w:rsidRPr="00BA67FD">
        <w:rPr>
          <w:rFonts w:ascii="Times New Roman" w:hAnsi="Times New Roman"/>
          <w:sz w:val="24"/>
          <w:szCs w:val="23"/>
        </w:rPr>
        <w:t>moon</w:t>
      </w:r>
      <w:proofErr w:type="spellEnd"/>
      <w:r w:rsidRPr="00BA67FD">
        <w:rPr>
          <w:rFonts w:ascii="Times New Roman" w:hAnsi="Times New Roman"/>
          <w:sz w:val="24"/>
          <w:szCs w:val="23"/>
        </w:rPr>
        <w:t>. (2014). Decenio Internacional para la Acción "El Agua Fuente de Vida" 2005-2015. Secretario General de Naciones Unidas. Departamento de Asuntos Económicos y Sociales de Naciones Unidas (ONU- DAES).</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Banco Mundial. (2019). Agua I. Panorama General. Práctica global de Agua del Banco Mundial. worldbankwater@worldbank.org.</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 xml:space="preserve">Carrillo, M., &amp; </w:t>
      </w:r>
      <w:proofErr w:type="spellStart"/>
      <w:r w:rsidRPr="00BA67FD">
        <w:rPr>
          <w:rFonts w:ascii="Times New Roman" w:hAnsi="Times New Roman"/>
          <w:sz w:val="24"/>
          <w:szCs w:val="23"/>
        </w:rPr>
        <w:t>Urgilés</w:t>
      </w:r>
      <w:proofErr w:type="spellEnd"/>
      <w:r w:rsidRPr="00BA67FD">
        <w:rPr>
          <w:rFonts w:ascii="Times New Roman" w:hAnsi="Times New Roman"/>
          <w:sz w:val="24"/>
          <w:szCs w:val="23"/>
        </w:rPr>
        <w:t>, P. (2016). Determinación Del Índice De Calidad De Agua Ica-</w:t>
      </w:r>
      <w:proofErr w:type="spellStart"/>
      <w:r w:rsidRPr="00BA67FD">
        <w:rPr>
          <w:rFonts w:ascii="Times New Roman" w:hAnsi="Times New Roman"/>
          <w:sz w:val="24"/>
          <w:szCs w:val="23"/>
        </w:rPr>
        <w:t>Nsf</w:t>
      </w:r>
      <w:proofErr w:type="spellEnd"/>
      <w:r w:rsidRPr="00BA67FD">
        <w:rPr>
          <w:rFonts w:ascii="Times New Roman" w:hAnsi="Times New Roman"/>
          <w:sz w:val="24"/>
          <w:szCs w:val="23"/>
        </w:rPr>
        <w:t xml:space="preserve"> De Los Ríos Mazar y </w:t>
      </w:r>
      <w:proofErr w:type="spellStart"/>
      <w:r w:rsidRPr="00BA67FD">
        <w:rPr>
          <w:rFonts w:ascii="Times New Roman" w:hAnsi="Times New Roman"/>
          <w:sz w:val="24"/>
          <w:szCs w:val="23"/>
        </w:rPr>
        <w:t>Pindilig</w:t>
      </w:r>
      <w:proofErr w:type="spellEnd"/>
      <w:r w:rsidRPr="00BA67FD">
        <w:rPr>
          <w:rFonts w:ascii="Times New Roman" w:hAnsi="Times New Roman"/>
          <w:sz w:val="24"/>
          <w:szCs w:val="23"/>
        </w:rPr>
        <w:t>. https://dspace.ucuenca.edu.ec/bitstream/123456789/23518/1/tesis.pdf.</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Cevallos, E., Gómez, L., &amp; Roldan, A. (2015). Análisis De Los Problemas Ambientales En El Cantón La Concordia, Provincia Santo Domingo De Los Tsáchilas, Ecuador. Revista Científica Interdisciplinaria Investigación y Saberes. 4 (1). https</w:t>
      </w:r>
      <w:proofErr w:type="gramStart"/>
      <w:r w:rsidRPr="00BA67FD">
        <w:rPr>
          <w:rFonts w:ascii="Times New Roman" w:hAnsi="Times New Roman"/>
          <w:sz w:val="24"/>
          <w:szCs w:val="23"/>
        </w:rPr>
        <w:t>:/</w:t>
      </w:r>
      <w:proofErr w:type="gramEnd"/>
      <w:r w:rsidRPr="00BA67FD">
        <w:rPr>
          <w:rFonts w:ascii="Times New Roman" w:hAnsi="Times New Roman"/>
          <w:sz w:val="24"/>
          <w:szCs w:val="23"/>
        </w:rPr>
        <w:t>/www.redalyc.org/html/1812/181220509053/, pp. 1-16.</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Espinosa, T., &amp; Rodríguez, C. (2016). Nota técnica: Índice de calidad del agua (ICA), de los ríos Aroa y Yaracuy de los estados de Falcón y Yaracuy, en Venezuela. Revista INGENIERÍA UC. Vol. 23. Núm. 3. Universidad de Carabobo. Estado Carabobo, Venezuela, pp. 381-386.</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Giler, A., Donoso, P., &amp; Zaldumbide, D. (2020). Manejo sostenible de inundaciones, cuencas hidrográficas y riberas en la provincia de Manabí. Revista La Técnica. 1 (5). agiler@pucem.edu.ec, pp. 55-72.</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 xml:space="preserve">González, A. (2019). Evaluación de la Calidad de Agua captada para el abastecimiento a la ciudad de Baños de Agua Santa mediante el ICA-NSF. Universidad Central del Ecuador. Vol. 8. </w:t>
      </w:r>
      <w:proofErr w:type="spellStart"/>
      <w:r w:rsidRPr="00BA67FD">
        <w:rPr>
          <w:rFonts w:ascii="Times New Roman" w:hAnsi="Times New Roman"/>
          <w:sz w:val="24"/>
          <w:szCs w:val="23"/>
        </w:rPr>
        <w:t>Issue</w:t>
      </w:r>
      <w:proofErr w:type="spellEnd"/>
      <w:r w:rsidRPr="00BA67FD">
        <w:rPr>
          <w:rFonts w:ascii="Times New Roman" w:hAnsi="Times New Roman"/>
          <w:sz w:val="24"/>
          <w:szCs w:val="23"/>
        </w:rPr>
        <w:t xml:space="preserve"> 2. https://doi.org/10.22201/fq.18708404e.2004.3.66178.</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Iriarte, M. (2019). Indicadores de calidad del agua residual doméstica descargada en la franja litoral de la Laguna de Punta de Piedras, Isla de Margarita, Venezuela. Memoria La Salle. 77 (185). maria.iriarte@fundacionlasalle.org.ve, pp. 51- 63.</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López, M. (2015). El sistema de planificación y el OT en Ecuador. 19.</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Macías, R., &amp; Díaz, S. (2010). Estrategias generales para el control y prevención de la contaminación del agua superficial en la cuenca del Río Portoviejo. Revista CENIC. Ciencias Biológicas. 41 (50), pp. 1-7.</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MAE. (2015). Registro Oficial. Edición Especial. Ministerio del Ambiente del Ecuador. Año III - Nº 387. https://www.gob.ec/sites/default/files/regulations/2018-09/Documento_Registro-Oficial-No-387-04-noviembre-2015_0.pdf</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 xml:space="preserve">Mayorga, O., Ramírez, M., &amp; Mayorga, J. (2000). Índice de calidad de agua de los ríos </w:t>
      </w:r>
      <w:proofErr w:type="spellStart"/>
      <w:r w:rsidRPr="00BA67FD">
        <w:rPr>
          <w:rFonts w:ascii="Times New Roman" w:hAnsi="Times New Roman"/>
          <w:sz w:val="24"/>
          <w:szCs w:val="23"/>
        </w:rPr>
        <w:t>Albarregas</w:t>
      </w:r>
      <w:proofErr w:type="spellEnd"/>
      <w:r w:rsidRPr="00BA67FD">
        <w:rPr>
          <w:rFonts w:ascii="Times New Roman" w:hAnsi="Times New Roman"/>
          <w:sz w:val="24"/>
          <w:szCs w:val="23"/>
        </w:rPr>
        <w:t xml:space="preserve"> y Milla del Estado Mérida, Venezuela. Revista Ingeniería UC, 24 (3). revistaing@uc.edu.ve, pp.428- 432.</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 xml:space="preserve">Montilla, A., &amp; Pacheco, H. (2017). ). Comportamiento temporal y espacial del bosque ribereño en el curso bajo del rio Portoviejo y la quebrada </w:t>
      </w:r>
      <w:proofErr w:type="spellStart"/>
      <w:r w:rsidRPr="00BA67FD">
        <w:rPr>
          <w:rFonts w:ascii="Times New Roman" w:hAnsi="Times New Roman"/>
          <w:sz w:val="24"/>
          <w:szCs w:val="23"/>
        </w:rPr>
        <w:t>Chilán</w:t>
      </w:r>
      <w:proofErr w:type="spellEnd"/>
      <w:r w:rsidRPr="00BA67FD">
        <w:rPr>
          <w:rFonts w:ascii="Times New Roman" w:hAnsi="Times New Roman"/>
          <w:sz w:val="24"/>
          <w:szCs w:val="23"/>
        </w:rPr>
        <w:t>, provincia de Manabí, Ecuador. Revista Internacional de Contaminación Ambiental. 33 (1). https</w:t>
      </w:r>
      <w:proofErr w:type="gramStart"/>
      <w:r w:rsidRPr="00BA67FD">
        <w:rPr>
          <w:rFonts w:ascii="Times New Roman" w:hAnsi="Times New Roman"/>
          <w:sz w:val="24"/>
          <w:szCs w:val="23"/>
        </w:rPr>
        <w:t>:/</w:t>
      </w:r>
      <w:proofErr w:type="gramEnd"/>
      <w:r w:rsidRPr="00BA67FD">
        <w:rPr>
          <w:rFonts w:ascii="Times New Roman" w:hAnsi="Times New Roman"/>
          <w:sz w:val="24"/>
          <w:szCs w:val="23"/>
        </w:rPr>
        <w:t>/doi.org/10.20937/RICA.2017.33.01.02, pp. 21-35.</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 xml:space="preserve">Olguín, E., González, R., Sánchez, G., &amp; Zamora, J. (2010). Contaminación de ríos urbanos : El caso de la subcuenca del río Sordo en Xalapa, Veracruz, México Resumen. Resumen. </w:t>
      </w:r>
      <w:proofErr w:type="spellStart"/>
      <w:r w:rsidRPr="00BA67FD">
        <w:rPr>
          <w:rFonts w:ascii="Times New Roman" w:hAnsi="Times New Roman"/>
          <w:sz w:val="24"/>
          <w:szCs w:val="23"/>
        </w:rPr>
        <w:t>Rev</w:t>
      </w:r>
      <w:proofErr w:type="spellEnd"/>
      <w:r w:rsidRPr="00BA67FD">
        <w:rPr>
          <w:rFonts w:ascii="Times New Roman" w:hAnsi="Times New Roman"/>
          <w:sz w:val="24"/>
          <w:szCs w:val="23"/>
        </w:rPr>
        <w:t xml:space="preserve"> </w:t>
      </w:r>
      <w:proofErr w:type="spellStart"/>
      <w:r w:rsidRPr="00BA67FD">
        <w:rPr>
          <w:rFonts w:ascii="Times New Roman" w:hAnsi="Times New Roman"/>
          <w:sz w:val="24"/>
          <w:szCs w:val="23"/>
        </w:rPr>
        <w:t>Latinoam</w:t>
      </w:r>
      <w:proofErr w:type="spellEnd"/>
      <w:r w:rsidRPr="00BA67FD">
        <w:rPr>
          <w:rFonts w:ascii="Times New Roman" w:hAnsi="Times New Roman"/>
          <w:sz w:val="24"/>
          <w:szCs w:val="23"/>
        </w:rPr>
        <w:t xml:space="preserve"> </w:t>
      </w:r>
      <w:proofErr w:type="spellStart"/>
      <w:r w:rsidRPr="00BA67FD">
        <w:rPr>
          <w:rFonts w:ascii="Times New Roman" w:hAnsi="Times New Roman"/>
          <w:sz w:val="24"/>
          <w:szCs w:val="23"/>
        </w:rPr>
        <w:t>Biotecnol</w:t>
      </w:r>
      <w:proofErr w:type="spellEnd"/>
      <w:r w:rsidRPr="00BA67FD">
        <w:rPr>
          <w:rFonts w:ascii="Times New Roman" w:hAnsi="Times New Roman"/>
          <w:sz w:val="24"/>
          <w:szCs w:val="23"/>
        </w:rPr>
        <w:t xml:space="preserve"> </w:t>
      </w:r>
      <w:proofErr w:type="spellStart"/>
      <w:r w:rsidRPr="00BA67FD">
        <w:rPr>
          <w:rFonts w:ascii="Times New Roman" w:hAnsi="Times New Roman"/>
          <w:sz w:val="24"/>
          <w:szCs w:val="23"/>
        </w:rPr>
        <w:t>Amb</w:t>
      </w:r>
      <w:proofErr w:type="spellEnd"/>
      <w:r w:rsidRPr="00BA67FD">
        <w:rPr>
          <w:rFonts w:ascii="Times New Roman" w:hAnsi="Times New Roman"/>
          <w:sz w:val="24"/>
          <w:szCs w:val="23"/>
        </w:rPr>
        <w:t xml:space="preserve"> </w:t>
      </w:r>
      <w:proofErr w:type="spellStart"/>
      <w:r w:rsidRPr="00BA67FD">
        <w:rPr>
          <w:rFonts w:ascii="Times New Roman" w:hAnsi="Times New Roman"/>
          <w:sz w:val="24"/>
          <w:szCs w:val="23"/>
        </w:rPr>
        <w:t>Algal</w:t>
      </w:r>
      <w:proofErr w:type="spellEnd"/>
      <w:r w:rsidRPr="00BA67FD">
        <w:rPr>
          <w:rFonts w:ascii="Times New Roman" w:hAnsi="Times New Roman"/>
          <w:sz w:val="24"/>
          <w:szCs w:val="23"/>
        </w:rPr>
        <w:t>, 1 (2). eugenoa@inecol.edu.mx, pp.178–190.</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ONU. (2014). Decenio Internacional para la Acción "El Agua como Fuente de Vida" 2005-2015. Departamento de Asuntos Económicos y Sociales de las Naciones Unidas (ONU-DAES).</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Pérez, N., Infante, C., &amp; Rosquete, C. (2010). Disminuyendo la relevancia de los plaguicidas. Alternativas a su uso. Agroecología, 5(0), 79–87.</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Quiroz, E., &amp; Menéndez, C. (2016). Modelación Matemática de la capacidad de autodepuración de corrientes superficiales. Caso de estudio: Río Portoviejo, Ecuador. Revista cubana de ingeniería 6 (2). Iquiroz@utm.edu.ec, pp. 64-70.</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Rodríguez, J. (2009). Parámetros fisicoquímicos de dureza total en calcio y magnesio, pH, conductividad y temperatura del agua potable analizados en conjunto con las Asociaciones Administradoras del Acueducto, (ASADAS), de cada distrito de Grecia, cantón de Alajuela. Pensamiento Actual, 9 (12). rodriguez@uc.org, pp. 125-134.</w:t>
      </w:r>
    </w:p>
    <w:p w:rsidR="008205DC"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 xml:space="preserve">SDGF. (2019). Objetivos de Desarrollo Sostenible. Objetivo 6: Agua limpia y saneamiento. </w:t>
      </w:r>
      <w:proofErr w:type="spellStart"/>
      <w:r w:rsidRPr="00BA67FD">
        <w:rPr>
          <w:rFonts w:ascii="Times New Roman" w:hAnsi="Times New Roman"/>
          <w:sz w:val="24"/>
          <w:szCs w:val="23"/>
        </w:rPr>
        <w:t>Sustainable</w:t>
      </w:r>
      <w:proofErr w:type="spellEnd"/>
      <w:r w:rsidRPr="00BA67FD">
        <w:rPr>
          <w:rFonts w:ascii="Times New Roman" w:hAnsi="Times New Roman"/>
          <w:sz w:val="24"/>
          <w:szCs w:val="23"/>
        </w:rPr>
        <w:t xml:space="preserve"> </w:t>
      </w:r>
      <w:proofErr w:type="spellStart"/>
      <w:r w:rsidRPr="00BA67FD">
        <w:rPr>
          <w:rFonts w:ascii="Times New Roman" w:hAnsi="Times New Roman"/>
          <w:sz w:val="24"/>
          <w:szCs w:val="23"/>
        </w:rPr>
        <w:t>Development</w:t>
      </w:r>
      <w:proofErr w:type="spellEnd"/>
      <w:r w:rsidRPr="00BA67FD">
        <w:rPr>
          <w:rFonts w:ascii="Times New Roman" w:hAnsi="Times New Roman"/>
          <w:sz w:val="24"/>
          <w:szCs w:val="23"/>
        </w:rPr>
        <w:t xml:space="preserve"> </w:t>
      </w:r>
      <w:proofErr w:type="spellStart"/>
      <w:r w:rsidRPr="00BA67FD">
        <w:rPr>
          <w:rFonts w:ascii="Times New Roman" w:hAnsi="Times New Roman"/>
          <w:sz w:val="24"/>
          <w:szCs w:val="23"/>
        </w:rPr>
        <w:t>Goals</w:t>
      </w:r>
      <w:proofErr w:type="spellEnd"/>
      <w:r w:rsidRPr="00BA67FD">
        <w:rPr>
          <w:rFonts w:ascii="Times New Roman" w:hAnsi="Times New Roman"/>
          <w:sz w:val="24"/>
          <w:szCs w:val="23"/>
        </w:rPr>
        <w:t xml:space="preserve"> </w:t>
      </w:r>
      <w:proofErr w:type="spellStart"/>
      <w:r w:rsidRPr="00BA67FD">
        <w:rPr>
          <w:rFonts w:ascii="Times New Roman" w:hAnsi="Times New Roman"/>
          <w:sz w:val="24"/>
          <w:szCs w:val="23"/>
        </w:rPr>
        <w:t>Fund</w:t>
      </w:r>
      <w:proofErr w:type="spellEnd"/>
      <w:r w:rsidRPr="00BA67FD">
        <w:rPr>
          <w:rFonts w:ascii="Times New Roman" w:hAnsi="Times New Roman"/>
          <w:sz w:val="24"/>
          <w:szCs w:val="23"/>
        </w:rPr>
        <w:t xml:space="preserve"> (SDGF). https://www.sdgfund.org/es/objetivo-6-agua-limpia-y-saneamiento.</w:t>
      </w:r>
    </w:p>
    <w:p w:rsidR="00B40493" w:rsidRPr="00BA67FD" w:rsidRDefault="008205DC" w:rsidP="008205DC">
      <w:pPr>
        <w:pStyle w:val="Prrafodelista"/>
        <w:numPr>
          <w:ilvl w:val="0"/>
          <w:numId w:val="6"/>
        </w:numPr>
        <w:spacing w:after="0" w:line="360" w:lineRule="auto"/>
        <w:ind w:left="993" w:right="-1" w:hanging="578"/>
        <w:jc w:val="both"/>
        <w:rPr>
          <w:rFonts w:ascii="Times New Roman" w:hAnsi="Times New Roman"/>
          <w:sz w:val="24"/>
          <w:szCs w:val="23"/>
        </w:rPr>
      </w:pPr>
      <w:r w:rsidRPr="00BA67FD">
        <w:rPr>
          <w:rFonts w:ascii="Times New Roman" w:hAnsi="Times New Roman"/>
          <w:sz w:val="24"/>
          <w:szCs w:val="23"/>
        </w:rPr>
        <w:t xml:space="preserve">Torres, P., Cruz, C., &amp; Patino, P. (2018). Índices de calidad de agua en fuentes superficiales utilizadas en la producción de agua para consumo humano. Una revisión crítica. RSC </w:t>
      </w:r>
      <w:proofErr w:type="spellStart"/>
      <w:r w:rsidRPr="00BA67FD">
        <w:rPr>
          <w:rFonts w:ascii="Times New Roman" w:hAnsi="Times New Roman"/>
          <w:sz w:val="24"/>
          <w:szCs w:val="23"/>
        </w:rPr>
        <w:t>Theoretical</w:t>
      </w:r>
      <w:proofErr w:type="spellEnd"/>
      <w:r w:rsidRPr="00BA67FD">
        <w:rPr>
          <w:rFonts w:ascii="Times New Roman" w:hAnsi="Times New Roman"/>
          <w:sz w:val="24"/>
          <w:szCs w:val="23"/>
        </w:rPr>
        <w:t xml:space="preserve"> and </w:t>
      </w:r>
      <w:proofErr w:type="spellStart"/>
      <w:r w:rsidRPr="00BA67FD">
        <w:rPr>
          <w:rFonts w:ascii="Times New Roman" w:hAnsi="Times New Roman"/>
          <w:sz w:val="24"/>
          <w:szCs w:val="23"/>
        </w:rPr>
        <w:t>Computational</w:t>
      </w:r>
      <w:proofErr w:type="spellEnd"/>
      <w:r w:rsidRPr="00BA67FD">
        <w:rPr>
          <w:rFonts w:ascii="Times New Roman" w:hAnsi="Times New Roman"/>
          <w:sz w:val="24"/>
          <w:szCs w:val="23"/>
        </w:rPr>
        <w:t xml:space="preserve"> </w:t>
      </w:r>
      <w:proofErr w:type="spellStart"/>
      <w:r w:rsidRPr="00BA67FD">
        <w:rPr>
          <w:rFonts w:ascii="Times New Roman" w:hAnsi="Times New Roman"/>
          <w:sz w:val="24"/>
          <w:szCs w:val="23"/>
        </w:rPr>
        <w:t>Chemistry</w:t>
      </w:r>
      <w:proofErr w:type="spellEnd"/>
      <w:r w:rsidRPr="00BA67FD">
        <w:rPr>
          <w:rFonts w:ascii="Times New Roman" w:hAnsi="Times New Roman"/>
          <w:sz w:val="24"/>
          <w:szCs w:val="23"/>
        </w:rPr>
        <w:t xml:space="preserve"> Series, 2018-</w:t>
      </w:r>
      <w:proofErr w:type="gramStart"/>
      <w:r w:rsidRPr="00BA67FD">
        <w:rPr>
          <w:rFonts w:ascii="Times New Roman" w:hAnsi="Times New Roman"/>
          <w:sz w:val="24"/>
          <w:szCs w:val="23"/>
        </w:rPr>
        <w:t>Janua(</w:t>
      </w:r>
      <w:proofErr w:type="gramEnd"/>
      <w:r w:rsidRPr="00BA67FD">
        <w:rPr>
          <w:rFonts w:ascii="Times New Roman" w:hAnsi="Times New Roman"/>
          <w:sz w:val="24"/>
          <w:szCs w:val="23"/>
        </w:rPr>
        <w:t>13). https://doi.org/10.1039/9781788012669-00386, pp.386–423.</w:t>
      </w:r>
    </w:p>
    <w:p w:rsidR="0043113A" w:rsidRDefault="0043113A" w:rsidP="00FF5C0F">
      <w:pPr>
        <w:pStyle w:val="Prrafodelista"/>
        <w:spacing w:after="0" w:line="360" w:lineRule="auto"/>
        <w:ind w:left="709" w:right="-1"/>
        <w:jc w:val="both"/>
        <w:rPr>
          <w:rFonts w:ascii="Times New Roman" w:hAnsi="Times New Roman"/>
          <w:sz w:val="23"/>
          <w:szCs w:val="23"/>
        </w:rPr>
      </w:pPr>
    </w:p>
    <w:p w:rsidR="00BA67FD" w:rsidRDefault="00BA67FD" w:rsidP="00FF5C0F">
      <w:pPr>
        <w:pStyle w:val="Prrafodelista"/>
        <w:spacing w:after="0" w:line="360" w:lineRule="auto"/>
        <w:ind w:left="709" w:right="-1"/>
        <w:jc w:val="both"/>
        <w:rPr>
          <w:rFonts w:ascii="Times New Roman" w:hAnsi="Times New Roman"/>
          <w:sz w:val="23"/>
          <w:szCs w:val="23"/>
        </w:rPr>
      </w:pPr>
    </w:p>
    <w:p w:rsidR="00BA67FD" w:rsidRDefault="00BA67FD" w:rsidP="00FF5C0F">
      <w:pPr>
        <w:pStyle w:val="Prrafodelista"/>
        <w:spacing w:after="0" w:line="360" w:lineRule="auto"/>
        <w:ind w:left="709"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F5C0F" w:rsidRPr="00ED1677" w:rsidRDefault="00FF5C0F" w:rsidP="00C15240">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F5C0F" w:rsidRPr="00ED1677" w:rsidSect="00860394">
      <w:headerReference w:type="even" r:id="rId24"/>
      <w:headerReference w:type="default" r:id="rId25"/>
      <w:headerReference w:type="first" r:id="rId26"/>
      <w:pgSz w:w="12240" w:h="15840"/>
      <w:pgMar w:top="1276" w:right="1183" w:bottom="1134" w:left="1276" w:header="454" w:footer="405" w:gutter="0"/>
      <w:pgNumType w:start="117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480" w:rsidRDefault="00E06480">
      <w:pPr>
        <w:spacing w:after="0" w:line="240" w:lineRule="auto"/>
      </w:pPr>
      <w:r>
        <w:separator/>
      </w:r>
    </w:p>
  </w:endnote>
  <w:endnote w:type="continuationSeparator" w:id="0">
    <w:p w:rsidR="00E06480" w:rsidRDefault="00E06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7774" w:rsidRDefault="00B1777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6B410B" w:rsidRPr="006B410B">
                            <w:rPr>
                              <w:rFonts w:ascii="Times New Roman" w:hAnsi="Times New Roman"/>
                              <w:sz w:val="20"/>
                              <w:szCs w:val="20"/>
                            </w:rPr>
                            <w:t>1144-1171</w:t>
                          </w:r>
                          <w:r w:rsidRPr="00B930ED">
                            <w:rPr>
                              <w:rFonts w:ascii="Times New Roman" w:hAnsi="Times New Roman"/>
                              <w:sz w:val="20"/>
                              <w:szCs w:val="20"/>
                            </w:rPr>
                            <w:t xml:space="preserve">, </w:t>
                          </w:r>
                          <w:r>
                            <w:rPr>
                              <w:rFonts w:ascii="Times New Roman" w:hAnsi="Times New Roman"/>
                              <w:sz w:val="20"/>
                              <w:szCs w:val="20"/>
                            </w:rPr>
                            <w:t>ISSN: 2550 - 682X</w:t>
                          </w:r>
                        </w:p>
                        <w:p w:rsidR="00B17774" w:rsidRDefault="00B1777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B17774" w:rsidRDefault="00B1777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6B410B" w:rsidRPr="006B410B">
                      <w:rPr>
                        <w:rFonts w:ascii="Times New Roman" w:hAnsi="Times New Roman"/>
                        <w:sz w:val="20"/>
                        <w:szCs w:val="20"/>
                      </w:rPr>
                      <w:t>1144-1171</w:t>
                    </w:r>
                    <w:r w:rsidRPr="00B930ED">
                      <w:rPr>
                        <w:rFonts w:ascii="Times New Roman" w:hAnsi="Times New Roman"/>
                        <w:sz w:val="20"/>
                        <w:szCs w:val="20"/>
                      </w:rPr>
                      <w:t xml:space="preserve">, </w:t>
                    </w:r>
                    <w:r>
                      <w:rPr>
                        <w:rFonts w:ascii="Times New Roman" w:hAnsi="Times New Roman"/>
                        <w:sz w:val="20"/>
                        <w:szCs w:val="20"/>
                      </w:rPr>
                      <w:t>ISSN: 2550 - 682X</w:t>
                    </w:r>
                  </w:p>
                  <w:p w:rsidR="00B17774" w:rsidRDefault="00B17774">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A3557" w:rsidRPr="000A3557">
                              <w:rPr>
                                <w:noProof/>
                                <w:color w:val="000000"/>
                                <w:sz w:val="32"/>
                                <w:szCs w:val="32"/>
                                <w:lang w:val="es-ES" w:eastAsia="es-EC"/>
                              </w:rPr>
                              <w:t>1174</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A3557" w:rsidRPr="000A3557">
                        <w:rPr>
                          <w:noProof/>
                          <w:color w:val="000000"/>
                          <w:sz w:val="32"/>
                          <w:szCs w:val="32"/>
                          <w:lang w:val="es-ES" w:eastAsia="es-EC"/>
                        </w:rPr>
                        <w:t>1174</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7774" w:rsidRDefault="00B1777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6B410B">
                            <w:rPr>
                              <w:rFonts w:ascii="Times New Roman" w:hAnsi="Times New Roman"/>
                              <w:sz w:val="20"/>
                              <w:szCs w:val="20"/>
                            </w:rPr>
                            <w:t>1144-1171</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B17774" w:rsidRDefault="00B1777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6B410B">
                      <w:rPr>
                        <w:rFonts w:ascii="Times New Roman" w:hAnsi="Times New Roman"/>
                        <w:sz w:val="20"/>
                        <w:szCs w:val="20"/>
                      </w:rPr>
                      <w:t>1144-1171</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sidR="00AF7ABB">
      <w:t xml:space="preserve"> </w: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A3557" w:rsidRPr="000A3557">
                              <w:rPr>
                                <w:noProof/>
                                <w:color w:val="000000"/>
                                <w:sz w:val="32"/>
                                <w:szCs w:val="32"/>
                                <w:lang w:val="es-ES" w:eastAsia="es-EC"/>
                              </w:rPr>
                              <w:t>1173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A3557" w:rsidRPr="000A3557">
                        <w:rPr>
                          <w:noProof/>
                          <w:color w:val="000000"/>
                          <w:sz w:val="32"/>
                          <w:szCs w:val="32"/>
                          <w:lang w:val="es-ES" w:eastAsia="es-EC"/>
                        </w:rPr>
                        <w:t>1173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7774" w:rsidRDefault="00B17774">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B17774" w:rsidRDefault="00B17774">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480" w:rsidRDefault="00E06480">
      <w:pPr>
        <w:spacing w:after="0" w:line="240" w:lineRule="auto"/>
      </w:pPr>
      <w:r>
        <w:separator/>
      </w:r>
    </w:p>
  </w:footnote>
  <w:footnote w:type="continuationSeparator" w:id="0">
    <w:p w:rsidR="00E06480" w:rsidRDefault="00E064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21" name="Imagen 2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B17774" w:rsidRDefault="00B17774">
    <w:pPr>
      <w:pStyle w:val="Sinespaciado"/>
      <w:spacing w:line="360" w:lineRule="auto"/>
      <w:jc w:val="center"/>
      <w:rPr>
        <w:rFonts w:ascii="Times New Roman" w:hAnsi="Times New Roman"/>
        <w:sz w:val="20"/>
        <w:szCs w:val="20"/>
        <w:lang w:eastAsia="es-EC"/>
      </w:rPr>
    </w:pPr>
  </w:p>
  <w:p w:rsidR="00B17774" w:rsidRDefault="00B1777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B17774" w:rsidRDefault="00B1777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B17774" w:rsidRDefault="00B17774">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22"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B17774" w:rsidRDefault="00B1777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B17774" w:rsidRDefault="00B17774">
                          <w:pPr>
                            <w:pStyle w:val="Sinespaciado"/>
                            <w:rPr>
                              <w:rFonts w:ascii="Times New Roman" w:hAnsi="Times New Roman"/>
                              <w:b/>
                              <w:lang w:val="pt-BR"/>
                            </w:rPr>
                          </w:pPr>
                          <w:proofErr w:type="spellStart"/>
                          <w:r>
                            <w:rPr>
                              <w:rFonts w:ascii="Times New Roman" w:hAnsi="Times New Roman"/>
                              <w:b/>
                              <w:lang w:val="pt-BR"/>
                            </w:rPr>
                            <w:t>Junio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6B410B" w:rsidRPr="006B410B">
                            <w:rPr>
                              <w:rFonts w:ascii="Times New Roman" w:hAnsi="Times New Roman"/>
                              <w:b/>
                              <w:lang w:val="pt-BR"/>
                            </w:rPr>
                            <w:t>1144-1171</w:t>
                          </w:r>
                        </w:p>
                        <w:p w:rsidR="00B17774" w:rsidRDefault="00B17774">
                          <w:pPr>
                            <w:pStyle w:val="Sinespaciado"/>
                            <w:rPr>
                              <w:rFonts w:ascii="Times New Roman" w:hAnsi="Times New Roman"/>
                              <w:b/>
                              <w:lang w:val="pt-BR"/>
                            </w:rPr>
                          </w:pPr>
                          <w:r>
                            <w:rPr>
                              <w:rFonts w:ascii="Times New Roman" w:hAnsi="Times New Roman"/>
                              <w:b/>
                              <w:lang w:val="pt-BR"/>
                            </w:rPr>
                            <w:t>ISSN: 2550 - 682X</w:t>
                          </w:r>
                        </w:p>
                        <w:p w:rsidR="00B17774" w:rsidRDefault="00B17774">
                          <w:pPr>
                            <w:pStyle w:val="Sinespaciado"/>
                            <w:rPr>
                              <w:rFonts w:ascii="Times New Roman" w:hAnsi="Times New Roman"/>
                              <w:b/>
                              <w:lang w:val="pt-BR"/>
                            </w:rPr>
                          </w:pPr>
                          <w:r>
                            <w:rPr>
                              <w:rFonts w:ascii="Times New Roman" w:hAnsi="Times New Roman"/>
                              <w:b/>
                              <w:lang w:val="pt-BR"/>
                            </w:rPr>
                            <w:t xml:space="preserve">DOI: </w:t>
                          </w:r>
                          <w:r w:rsidR="000A3557" w:rsidRPr="000A3557">
                            <w:rPr>
                              <w:rFonts w:ascii="Times New Roman" w:hAnsi="Times New Roman"/>
                              <w:b/>
                              <w:lang w:val="pt-BR"/>
                            </w:rPr>
                            <w:t>10.23857/pc.v6i6.2811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B17774" w:rsidRDefault="00B1777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B17774" w:rsidRDefault="00B17774">
                    <w:pPr>
                      <w:pStyle w:val="Sinespaciado"/>
                      <w:rPr>
                        <w:rFonts w:ascii="Times New Roman" w:hAnsi="Times New Roman"/>
                        <w:b/>
                        <w:lang w:val="pt-BR"/>
                      </w:rPr>
                    </w:pPr>
                    <w:proofErr w:type="spellStart"/>
                    <w:r>
                      <w:rPr>
                        <w:rFonts w:ascii="Times New Roman" w:hAnsi="Times New Roman"/>
                        <w:b/>
                        <w:lang w:val="pt-BR"/>
                      </w:rPr>
                      <w:t>Junio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6B410B" w:rsidRPr="006B410B">
                      <w:rPr>
                        <w:rFonts w:ascii="Times New Roman" w:hAnsi="Times New Roman"/>
                        <w:b/>
                        <w:lang w:val="pt-BR"/>
                      </w:rPr>
                      <w:t>1144-1171</w:t>
                    </w:r>
                  </w:p>
                  <w:p w:rsidR="00B17774" w:rsidRDefault="00B17774">
                    <w:pPr>
                      <w:pStyle w:val="Sinespaciado"/>
                      <w:rPr>
                        <w:rFonts w:ascii="Times New Roman" w:hAnsi="Times New Roman"/>
                        <w:b/>
                        <w:lang w:val="pt-BR"/>
                      </w:rPr>
                    </w:pPr>
                    <w:r>
                      <w:rPr>
                        <w:rFonts w:ascii="Times New Roman" w:hAnsi="Times New Roman"/>
                        <w:b/>
                        <w:lang w:val="pt-BR"/>
                      </w:rPr>
                      <w:t>ISSN: 2550 - 682X</w:t>
                    </w:r>
                  </w:p>
                  <w:p w:rsidR="00B17774" w:rsidRDefault="00B17774">
                    <w:pPr>
                      <w:pStyle w:val="Sinespaciado"/>
                      <w:rPr>
                        <w:rFonts w:ascii="Times New Roman" w:hAnsi="Times New Roman"/>
                        <w:b/>
                        <w:lang w:val="pt-BR"/>
                      </w:rPr>
                    </w:pPr>
                    <w:r>
                      <w:rPr>
                        <w:rFonts w:ascii="Times New Roman" w:hAnsi="Times New Roman"/>
                        <w:b/>
                        <w:lang w:val="pt-BR"/>
                      </w:rPr>
                      <w:t xml:space="preserve">DOI: </w:t>
                    </w:r>
                    <w:r w:rsidR="000A3557" w:rsidRPr="000A3557">
                      <w:rPr>
                        <w:rFonts w:ascii="Times New Roman" w:hAnsi="Times New Roman"/>
                        <w:b/>
                        <w:lang w:val="pt-BR"/>
                      </w:rPr>
                      <w:t>10.23857/pc.v6i6.2811</w:t>
                    </w:r>
                  </w:p>
                </w:txbxContent>
              </v:textbox>
            </v:rect>
          </w:pict>
        </mc:Fallback>
      </mc:AlternateContent>
    </w:r>
    <w:r>
      <w:t xml:space="preserve"> </w:t>
    </w:r>
  </w:p>
  <w:p w:rsidR="00B17774" w:rsidRDefault="00B1777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FB" w:rsidRDefault="00D157FB">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819150</wp:posOffset>
              </wp:positionH>
              <wp:positionV relativeFrom="paragraph">
                <wp:posOffset>-146050</wp:posOffset>
              </wp:positionV>
              <wp:extent cx="6124575"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476250"/>
                      </a:xfrm>
                      <a:prstGeom prst="rect">
                        <a:avLst/>
                      </a:prstGeom>
                      <a:noFill/>
                      <a:ln>
                        <a:noFill/>
                      </a:ln>
                    </wps:spPr>
                    <wps:txbx>
                      <w:txbxContent>
                        <w:p w:rsidR="00B17774" w:rsidRPr="00474C3A" w:rsidRDefault="005A3373">
                          <w:pPr>
                            <w:spacing w:line="240" w:lineRule="auto"/>
                            <w:jc w:val="center"/>
                            <w:rPr>
                              <w:rFonts w:ascii="Times New Roman" w:eastAsia="Times New Roman" w:hAnsi="Times New Roman"/>
                              <w:sz w:val="24"/>
                              <w:szCs w:val="20"/>
                              <w:lang w:eastAsia="es-ES"/>
                            </w:rPr>
                          </w:pPr>
                          <w:r w:rsidRPr="005A3373">
                            <w:rPr>
                              <w:rFonts w:ascii="Times New Roman" w:hAnsi="Times New Roman"/>
                              <w:color w:val="000000"/>
                              <w:sz w:val="24"/>
                              <w:szCs w:val="20"/>
                            </w:rPr>
                            <w:t>Calidad del agua de la cuenca media del río Portoviejo.  Estrategias para mitigar la contaminación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4.5pt;margin-top:-11.5pt;width:482.25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" filled="f" stroked="f">
              <v:textbox>
                <w:txbxContent>
                  <w:p w:rsidR="00B17774" w:rsidRPr="00474C3A" w:rsidRDefault="005A3373">
                    <w:pPr>
                      <w:spacing w:line="240" w:lineRule="auto"/>
                      <w:jc w:val="center"/>
                      <w:rPr>
                        <w:rFonts w:ascii="Times New Roman" w:eastAsia="Times New Roman" w:hAnsi="Times New Roman"/>
                        <w:sz w:val="24"/>
                        <w:szCs w:val="20"/>
                        <w:lang w:eastAsia="es-ES"/>
                      </w:rPr>
                    </w:pPr>
                    <w:r w:rsidRPr="005A3373">
                      <w:rPr>
                        <w:rFonts w:ascii="Times New Roman" w:hAnsi="Times New Roman"/>
                        <w:color w:val="000000"/>
                        <w:sz w:val="24"/>
                        <w:szCs w:val="20"/>
                      </w:rPr>
                      <w:t>Calidad del agua de la cuenca media del río Portoviejo.  Estrategias para mitigar la contaminación</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-231775</wp:posOffset>
          </wp:positionV>
          <wp:extent cx="7816215" cy="683895"/>
          <wp:effectExtent l="0" t="0" r="0" b="0"/>
          <wp:wrapNone/>
          <wp:docPr id="51"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B17774" w:rsidRDefault="00B17774">
    <w:pPr>
      <w:pStyle w:val="Encabezado"/>
    </w:pPr>
  </w:p>
  <w:p w:rsidR="00B17774" w:rsidRDefault="00B17774">
    <w:pPr>
      <w:pStyle w:val="Encabezado"/>
    </w:pPr>
  </w:p>
  <w:p w:rsidR="00B17774" w:rsidRDefault="00B17774"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774" w:rsidRPr="00421C00" w:rsidRDefault="005A3373" w:rsidP="0053472E">
                          <w:pPr>
                            <w:jc w:val="center"/>
                            <w:rPr>
                              <w:rFonts w:ascii="Times New Roman" w:hAnsi="Times New Roman"/>
                              <w:sz w:val="24"/>
                              <w:szCs w:val="24"/>
                            </w:rPr>
                          </w:pPr>
                          <w:r w:rsidRPr="005A3373">
                            <w:rPr>
                              <w:rFonts w:ascii="Times New Roman" w:hAnsi="Times New Roman"/>
                              <w:sz w:val="24"/>
                              <w:szCs w:val="24"/>
                              <w:lang w:val="es-VE"/>
                            </w:rPr>
                            <w:t xml:space="preserve">Julio Benito Intriago Flores, Luis Santiago Quiroz </w:t>
                          </w:r>
                          <w:proofErr w:type="spellStart"/>
                          <w:r w:rsidRPr="005A3373">
                            <w:rPr>
                              <w:rFonts w:ascii="Times New Roman" w:hAnsi="Times New Roman"/>
                              <w:sz w:val="24"/>
                              <w:szCs w:val="24"/>
                              <w:lang w:val="es-VE"/>
                            </w:rPr>
                            <w:t>Fernandez</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B17774" w:rsidRPr="00421C00" w:rsidRDefault="005A3373" w:rsidP="0053472E">
                    <w:pPr>
                      <w:jc w:val="center"/>
                      <w:rPr>
                        <w:rFonts w:ascii="Times New Roman" w:hAnsi="Times New Roman"/>
                        <w:sz w:val="24"/>
                        <w:szCs w:val="24"/>
                      </w:rPr>
                    </w:pPr>
                    <w:r w:rsidRPr="005A3373">
                      <w:rPr>
                        <w:rFonts w:ascii="Times New Roman" w:hAnsi="Times New Roman"/>
                        <w:sz w:val="24"/>
                        <w:szCs w:val="24"/>
                        <w:lang w:val="es-VE"/>
                      </w:rPr>
                      <w:t xml:space="preserve">Julio Benito Intriago Flores, Luis Santiago Quiroz </w:t>
                    </w:r>
                    <w:proofErr w:type="spellStart"/>
                    <w:r w:rsidRPr="005A3373">
                      <w:rPr>
                        <w:rFonts w:ascii="Times New Roman" w:hAnsi="Times New Roman"/>
                        <w:sz w:val="24"/>
                        <w:szCs w:val="24"/>
                        <w:lang w:val="es-VE"/>
                      </w:rPr>
                      <w:t>Fernandez</w:t>
                    </w:r>
                    <w:proofErr w:type="spellEnd"/>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52" name="Imagen 52"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B17774" w:rsidRDefault="00B17774">
    <w:pPr>
      <w:pStyle w:val="Encabezado"/>
      <w:tabs>
        <w:tab w:val="left" w:pos="503"/>
        <w:tab w:val="right" w:pos="9404"/>
      </w:tabs>
    </w:pPr>
  </w:p>
  <w:p w:rsidR="00B17774" w:rsidRDefault="00B17774" w:rsidP="0053472E">
    <w:pPr>
      <w:pStyle w:val="Encabezado"/>
      <w:tabs>
        <w:tab w:val="left" w:pos="503"/>
        <w:tab w:val="right" w:pos="9404"/>
      </w:tabs>
      <w:jc w:val="center"/>
    </w:pPr>
  </w:p>
  <w:p w:rsidR="00B17774" w:rsidRDefault="00B17774">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proofErr w:type="spellStart"/>
    <w:r>
      <w:t>Dddddddddd</w:t>
    </w:r>
    <w:proofErr w:type="spellEnd"/>
  </w:p>
  <w:p w:rsidR="00B17774" w:rsidRDefault="00B17774">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7904444"/>
    <w:multiLevelType w:val="hybridMultilevel"/>
    <w:tmpl w:val="D21888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CD641E"/>
    <w:multiLevelType w:val="hybridMultilevel"/>
    <w:tmpl w:val="4E8E0C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E324ED5"/>
    <w:multiLevelType w:val="hybridMultilevel"/>
    <w:tmpl w:val="3120DE2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19702C7"/>
    <w:multiLevelType w:val="hybridMultilevel"/>
    <w:tmpl w:val="6292D9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8DE4546"/>
    <w:multiLevelType w:val="hybridMultilevel"/>
    <w:tmpl w:val="A75019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C245525"/>
    <w:multiLevelType w:val="hybridMultilevel"/>
    <w:tmpl w:val="8BA26420"/>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F0F2B0A"/>
    <w:multiLevelType w:val="hybridMultilevel"/>
    <w:tmpl w:val="A8F08A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4C3FE0"/>
    <w:multiLevelType w:val="hybridMultilevel"/>
    <w:tmpl w:val="501CA6FC"/>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67E6A80"/>
    <w:multiLevelType w:val="hybridMultilevel"/>
    <w:tmpl w:val="233287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7297CEA"/>
    <w:multiLevelType w:val="hybridMultilevel"/>
    <w:tmpl w:val="C90437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7675AB5"/>
    <w:multiLevelType w:val="hybridMultilevel"/>
    <w:tmpl w:val="30D2309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A495BA8"/>
    <w:multiLevelType w:val="hybridMultilevel"/>
    <w:tmpl w:val="F4DE7B7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E511F5C"/>
    <w:multiLevelType w:val="hybridMultilevel"/>
    <w:tmpl w:val="9CFAA6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77013C5"/>
    <w:multiLevelType w:val="hybridMultilevel"/>
    <w:tmpl w:val="29282678"/>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8345826"/>
    <w:multiLevelType w:val="hybridMultilevel"/>
    <w:tmpl w:val="C9EE26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CDF736F"/>
    <w:multiLevelType w:val="hybridMultilevel"/>
    <w:tmpl w:val="57C47F8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F184CD2"/>
    <w:multiLevelType w:val="hybridMultilevel"/>
    <w:tmpl w:val="A36267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04607C3"/>
    <w:multiLevelType w:val="hybridMultilevel"/>
    <w:tmpl w:val="FBFA50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2DD4E89"/>
    <w:multiLevelType w:val="hybridMultilevel"/>
    <w:tmpl w:val="252A0D16"/>
    <w:lvl w:ilvl="0" w:tplc="300A000F">
      <w:start w:val="1"/>
      <w:numFmt w:val="decimal"/>
      <w:lvlText w:val="%1."/>
      <w:lvlJc w:val="left"/>
      <w:pPr>
        <w:ind w:left="1429" w:hanging="360"/>
      </w:pPr>
    </w:lvl>
    <w:lvl w:ilvl="1" w:tplc="300A0019">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21" w15:restartNumberingAfterBreak="0">
    <w:nsid w:val="4549401B"/>
    <w:multiLevelType w:val="hybridMultilevel"/>
    <w:tmpl w:val="12BE48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7BB15F7"/>
    <w:multiLevelType w:val="hybridMultilevel"/>
    <w:tmpl w:val="C5F86E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A060705"/>
    <w:multiLevelType w:val="hybridMultilevel"/>
    <w:tmpl w:val="E16C99B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5" w15:restartNumberingAfterBreak="0">
    <w:nsid w:val="508F3AD0"/>
    <w:multiLevelType w:val="hybridMultilevel"/>
    <w:tmpl w:val="D8BE87A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0D675D6"/>
    <w:multiLevelType w:val="hybridMultilevel"/>
    <w:tmpl w:val="D9BC9C4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55852F4"/>
    <w:multiLevelType w:val="hybridMultilevel"/>
    <w:tmpl w:val="3C783A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73F49A9"/>
    <w:multiLevelType w:val="hybridMultilevel"/>
    <w:tmpl w:val="5DC0204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B70911"/>
    <w:multiLevelType w:val="hybridMultilevel"/>
    <w:tmpl w:val="F49EFF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12C1DB9"/>
    <w:multiLevelType w:val="hybridMultilevel"/>
    <w:tmpl w:val="0A6057C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69C56889"/>
    <w:multiLevelType w:val="hybridMultilevel"/>
    <w:tmpl w:val="5DEEE31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70A10FB7"/>
    <w:multiLevelType w:val="hybridMultilevel"/>
    <w:tmpl w:val="D08C27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0F11B52"/>
    <w:multiLevelType w:val="hybridMultilevel"/>
    <w:tmpl w:val="A21A2D38"/>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C801D7E"/>
    <w:multiLevelType w:val="hybridMultilevel"/>
    <w:tmpl w:val="4BFC696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DBB35B8"/>
    <w:multiLevelType w:val="hybridMultilevel"/>
    <w:tmpl w:val="2D4E9258"/>
    <w:lvl w:ilvl="0" w:tplc="E35CDA20">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33"/>
  </w:num>
  <w:num w:numId="4">
    <w:abstractNumId w:val="8"/>
  </w:num>
  <w:num w:numId="5">
    <w:abstractNumId w:val="24"/>
  </w:num>
  <w:num w:numId="6">
    <w:abstractNumId w:val="20"/>
  </w:num>
  <w:num w:numId="7">
    <w:abstractNumId w:val="21"/>
  </w:num>
  <w:num w:numId="8">
    <w:abstractNumId w:val="9"/>
  </w:num>
  <w:num w:numId="9">
    <w:abstractNumId w:val="11"/>
  </w:num>
  <w:num w:numId="10">
    <w:abstractNumId w:val="6"/>
  </w:num>
  <w:num w:numId="11">
    <w:abstractNumId w:val="36"/>
  </w:num>
  <w:num w:numId="12">
    <w:abstractNumId w:val="31"/>
  </w:num>
  <w:num w:numId="13">
    <w:abstractNumId w:val="28"/>
  </w:num>
  <w:num w:numId="14">
    <w:abstractNumId w:val="13"/>
  </w:num>
  <w:num w:numId="15">
    <w:abstractNumId w:val="5"/>
  </w:num>
  <w:num w:numId="16">
    <w:abstractNumId w:val="27"/>
  </w:num>
  <w:num w:numId="17">
    <w:abstractNumId w:val="4"/>
  </w:num>
  <w:num w:numId="18">
    <w:abstractNumId w:val="34"/>
  </w:num>
  <w:num w:numId="19">
    <w:abstractNumId w:val="1"/>
  </w:num>
  <w:num w:numId="20">
    <w:abstractNumId w:val="15"/>
  </w:num>
  <w:num w:numId="21">
    <w:abstractNumId w:val="2"/>
  </w:num>
  <w:num w:numId="22">
    <w:abstractNumId w:val="16"/>
  </w:num>
  <w:num w:numId="23">
    <w:abstractNumId w:val="37"/>
  </w:num>
  <w:num w:numId="24">
    <w:abstractNumId w:val="35"/>
  </w:num>
  <w:num w:numId="25">
    <w:abstractNumId w:val="12"/>
  </w:num>
  <w:num w:numId="26">
    <w:abstractNumId w:val="18"/>
  </w:num>
  <w:num w:numId="27">
    <w:abstractNumId w:val="22"/>
  </w:num>
  <w:num w:numId="28">
    <w:abstractNumId w:val="3"/>
  </w:num>
  <w:num w:numId="29">
    <w:abstractNumId w:val="10"/>
  </w:num>
  <w:num w:numId="30">
    <w:abstractNumId w:val="17"/>
  </w:num>
  <w:num w:numId="31">
    <w:abstractNumId w:val="26"/>
  </w:num>
  <w:num w:numId="32">
    <w:abstractNumId w:val="30"/>
  </w:num>
  <w:num w:numId="33">
    <w:abstractNumId w:val="32"/>
  </w:num>
  <w:num w:numId="34">
    <w:abstractNumId w:val="23"/>
  </w:num>
  <w:num w:numId="35">
    <w:abstractNumId w:val="14"/>
  </w:num>
  <w:num w:numId="36">
    <w:abstractNumId w:val="25"/>
  </w:num>
  <w:num w:numId="37">
    <w:abstractNumId w:val="7"/>
  </w:num>
  <w:num w:numId="38">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43A9"/>
    <w:rsid w:val="000175F9"/>
    <w:rsid w:val="00017EBF"/>
    <w:rsid w:val="000202F7"/>
    <w:rsid w:val="000205BD"/>
    <w:rsid w:val="00020922"/>
    <w:rsid w:val="00023BB6"/>
    <w:rsid w:val="000248ED"/>
    <w:rsid w:val="0002633D"/>
    <w:rsid w:val="000300E5"/>
    <w:rsid w:val="00034180"/>
    <w:rsid w:val="00034BC7"/>
    <w:rsid w:val="00034FBC"/>
    <w:rsid w:val="00036943"/>
    <w:rsid w:val="00040B65"/>
    <w:rsid w:val="00040C92"/>
    <w:rsid w:val="00042BEF"/>
    <w:rsid w:val="000454FF"/>
    <w:rsid w:val="00046829"/>
    <w:rsid w:val="0005050D"/>
    <w:rsid w:val="00051063"/>
    <w:rsid w:val="0005635E"/>
    <w:rsid w:val="000565EB"/>
    <w:rsid w:val="0005688C"/>
    <w:rsid w:val="00060838"/>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3BEA"/>
    <w:rsid w:val="00093E6B"/>
    <w:rsid w:val="000963C1"/>
    <w:rsid w:val="000964E0"/>
    <w:rsid w:val="000976F0"/>
    <w:rsid w:val="000A0865"/>
    <w:rsid w:val="000A1B05"/>
    <w:rsid w:val="000A24E6"/>
    <w:rsid w:val="000A3557"/>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3D51"/>
    <w:rsid w:val="000D4602"/>
    <w:rsid w:val="000D4922"/>
    <w:rsid w:val="000D7AC3"/>
    <w:rsid w:val="000E0CE7"/>
    <w:rsid w:val="000E466D"/>
    <w:rsid w:val="000E4AA6"/>
    <w:rsid w:val="000F13D3"/>
    <w:rsid w:val="000F164B"/>
    <w:rsid w:val="000F3C00"/>
    <w:rsid w:val="000F6A58"/>
    <w:rsid w:val="000F7F7A"/>
    <w:rsid w:val="00101041"/>
    <w:rsid w:val="00101B51"/>
    <w:rsid w:val="00105565"/>
    <w:rsid w:val="00111A05"/>
    <w:rsid w:val="0011292F"/>
    <w:rsid w:val="00112BE6"/>
    <w:rsid w:val="0012153E"/>
    <w:rsid w:val="0012409C"/>
    <w:rsid w:val="0012558C"/>
    <w:rsid w:val="00126213"/>
    <w:rsid w:val="00126CC1"/>
    <w:rsid w:val="001279D1"/>
    <w:rsid w:val="001301AB"/>
    <w:rsid w:val="00134469"/>
    <w:rsid w:val="0013480A"/>
    <w:rsid w:val="00142F06"/>
    <w:rsid w:val="001436A7"/>
    <w:rsid w:val="0014457A"/>
    <w:rsid w:val="00145504"/>
    <w:rsid w:val="0014550F"/>
    <w:rsid w:val="00145A9A"/>
    <w:rsid w:val="00145E70"/>
    <w:rsid w:val="001527E0"/>
    <w:rsid w:val="00153F4E"/>
    <w:rsid w:val="00156308"/>
    <w:rsid w:val="00157685"/>
    <w:rsid w:val="001642B2"/>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76"/>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692"/>
    <w:rsid w:val="001E740F"/>
    <w:rsid w:val="001F1A0B"/>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36CED"/>
    <w:rsid w:val="00241514"/>
    <w:rsid w:val="0024152E"/>
    <w:rsid w:val="00242669"/>
    <w:rsid w:val="00243D26"/>
    <w:rsid w:val="0024756A"/>
    <w:rsid w:val="00251D36"/>
    <w:rsid w:val="00251F62"/>
    <w:rsid w:val="00252CEB"/>
    <w:rsid w:val="00254A9F"/>
    <w:rsid w:val="002560FF"/>
    <w:rsid w:val="0025631D"/>
    <w:rsid w:val="002564DE"/>
    <w:rsid w:val="00256A98"/>
    <w:rsid w:val="00260B7F"/>
    <w:rsid w:val="002638E0"/>
    <w:rsid w:val="00263F01"/>
    <w:rsid w:val="00264FCD"/>
    <w:rsid w:val="00272924"/>
    <w:rsid w:val="00273811"/>
    <w:rsid w:val="0027402B"/>
    <w:rsid w:val="00275282"/>
    <w:rsid w:val="002755F7"/>
    <w:rsid w:val="00277022"/>
    <w:rsid w:val="002801DF"/>
    <w:rsid w:val="00280A3C"/>
    <w:rsid w:val="00281D68"/>
    <w:rsid w:val="00286262"/>
    <w:rsid w:val="002873BF"/>
    <w:rsid w:val="00290556"/>
    <w:rsid w:val="00292016"/>
    <w:rsid w:val="002929B5"/>
    <w:rsid w:val="00293724"/>
    <w:rsid w:val="002942FC"/>
    <w:rsid w:val="002959BF"/>
    <w:rsid w:val="00295CDA"/>
    <w:rsid w:val="002A0CA8"/>
    <w:rsid w:val="002A602E"/>
    <w:rsid w:val="002A7F15"/>
    <w:rsid w:val="002B0388"/>
    <w:rsid w:val="002B16FD"/>
    <w:rsid w:val="002B315B"/>
    <w:rsid w:val="002B4614"/>
    <w:rsid w:val="002B465A"/>
    <w:rsid w:val="002B524A"/>
    <w:rsid w:val="002B5D6D"/>
    <w:rsid w:val="002B6ECE"/>
    <w:rsid w:val="002C12C9"/>
    <w:rsid w:val="002C1C6E"/>
    <w:rsid w:val="002C276F"/>
    <w:rsid w:val="002C292A"/>
    <w:rsid w:val="002C5D3B"/>
    <w:rsid w:val="002C680C"/>
    <w:rsid w:val="002C7962"/>
    <w:rsid w:val="002C79E1"/>
    <w:rsid w:val="002D18DF"/>
    <w:rsid w:val="002D1977"/>
    <w:rsid w:val="002D2C5F"/>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2683"/>
    <w:rsid w:val="0030416C"/>
    <w:rsid w:val="003043B1"/>
    <w:rsid w:val="00306738"/>
    <w:rsid w:val="00307267"/>
    <w:rsid w:val="003075B3"/>
    <w:rsid w:val="0031042F"/>
    <w:rsid w:val="00310A6F"/>
    <w:rsid w:val="00310BB4"/>
    <w:rsid w:val="00312712"/>
    <w:rsid w:val="00312EA8"/>
    <w:rsid w:val="00314A25"/>
    <w:rsid w:val="00315985"/>
    <w:rsid w:val="003161D4"/>
    <w:rsid w:val="00317747"/>
    <w:rsid w:val="0032072F"/>
    <w:rsid w:val="003214F3"/>
    <w:rsid w:val="0032229E"/>
    <w:rsid w:val="0032310A"/>
    <w:rsid w:val="003260C2"/>
    <w:rsid w:val="003270FF"/>
    <w:rsid w:val="00327311"/>
    <w:rsid w:val="003279A9"/>
    <w:rsid w:val="003306BF"/>
    <w:rsid w:val="003327BF"/>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48D8"/>
    <w:rsid w:val="00385D4F"/>
    <w:rsid w:val="00386E75"/>
    <w:rsid w:val="003875DE"/>
    <w:rsid w:val="003916B5"/>
    <w:rsid w:val="00391F56"/>
    <w:rsid w:val="0039239A"/>
    <w:rsid w:val="00395AEB"/>
    <w:rsid w:val="003961AF"/>
    <w:rsid w:val="0039625B"/>
    <w:rsid w:val="00396804"/>
    <w:rsid w:val="003A01A3"/>
    <w:rsid w:val="003A04BF"/>
    <w:rsid w:val="003A691A"/>
    <w:rsid w:val="003A76B0"/>
    <w:rsid w:val="003B1B99"/>
    <w:rsid w:val="003B4D04"/>
    <w:rsid w:val="003B50BB"/>
    <w:rsid w:val="003B75A8"/>
    <w:rsid w:val="003C0542"/>
    <w:rsid w:val="003C1308"/>
    <w:rsid w:val="003C5F6F"/>
    <w:rsid w:val="003C6C1A"/>
    <w:rsid w:val="003C7FCD"/>
    <w:rsid w:val="003D6A83"/>
    <w:rsid w:val="003D7390"/>
    <w:rsid w:val="003E05C8"/>
    <w:rsid w:val="003E1C90"/>
    <w:rsid w:val="003E1E39"/>
    <w:rsid w:val="003E4DC6"/>
    <w:rsid w:val="003E57D4"/>
    <w:rsid w:val="003E59B5"/>
    <w:rsid w:val="003E75AF"/>
    <w:rsid w:val="003F3871"/>
    <w:rsid w:val="003F3D02"/>
    <w:rsid w:val="003F6D01"/>
    <w:rsid w:val="00400305"/>
    <w:rsid w:val="004003B4"/>
    <w:rsid w:val="004014B8"/>
    <w:rsid w:val="00402728"/>
    <w:rsid w:val="00403F19"/>
    <w:rsid w:val="00405309"/>
    <w:rsid w:val="004059DF"/>
    <w:rsid w:val="00406B74"/>
    <w:rsid w:val="00410D76"/>
    <w:rsid w:val="004125A5"/>
    <w:rsid w:val="0041615E"/>
    <w:rsid w:val="00420A3E"/>
    <w:rsid w:val="00420E0A"/>
    <w:rsid w:val="00421C00"/>
    <w:rsid w:val="00421EE2"/>
    <w:rsid w:val="00423E39"/>
    <w:rsid w:val="00424421"/>
    <w:rsid w:val="00427AC3"/>
    <w:rsid w:val="00430133"/>
    <w:rsid w:val="0043113A"/>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1E8E"/>
    <w:rsid w:val="00463195"/>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BA8"/>
    <w:rsid w:val="00493EE6"/>
    <w:rsid w:val="00494165"/>
    <w:rsid w:val="00496CB8"/>
    <w:rsid w:val="0049730E"/>
    <w:rsid w:val="004A086D"/>
    <w:rsid w:val="004A2EAD"/>
    <w:rsid w:val="004A3E1E"/>
    <w:rsid w:val="004A6FF3"/>
    <w:rsid w:val="004B0CF5"/>
    <w:rsid w:val="004B2078"/>
    <w:rsid w:val="004B4EFB"/>
    <w:rsid w:val="004B4F03"/>
    <w:rsid w:val="004B601F"/>
    <w:rsid w:val="004B64A7"/>
    <w:rsid w:val="004C052D"/>
    <w:rsid w:val="004C2C52"/>
    <w:rsid w:val="004C784D"/>
    <w:rsid w:val="004D290D"/>
    <w:rsid w:val="004D3832"/>
    <w:rsid w:val="004D6FE3"/>
    <w:rsid w:val="004E07D4"/>
    <w:rsid w:val="004E086F"/>
    <w:rsid w:val="004E14F9"/>
    <w:rsid w:val="004E15BC"/>
    <w:rsid w:val="004E1BD8"/>
    <w:rsid w:val="004E1F59"/>
    <w:rsid w:val="004E3487"/>
    <w:rsid w:val="004E4226"/>
    <w:rsid w:val="004E4DE6"/>
    <w:rsid w:val="004E50C1"/>
    <w:rsid w:val="004E7C7D"/>
    <w:rsid w:val="004F1686"/>
    <w:rsid w:val="004F1823"/>
    <w:rsid w:val="004F193C"/>
    <w:rsid w:val="004F2C3E"/>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26BDB"/>
    <w:rsid w:val="0053472E"/>
    <w:rsid w:val="00534776"/>
    <w:rsid w:val="00534DF3"/>
    <w:rsid w:val="00535867"/>
    <w:rsid w:val="00535892"/>
    <w:rsid w:val="005363DB"/>
    <w:rsid w:val="00541804"/>
    <w:rsid w:val="00542DD4"/>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373"/>
    <w:rsid w:val="005A3C36"/>
    <w:rsid w:val="005A476F"/>
    <w:rsid w:val="005A79E1"/>
    <w:rsid w:val="005B0BA0"/>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4941"/>
    <w:rsid w:val="005E753A"/>
    <w:rsid w:val="005F38DB"/>
    <w:rsid w:val="005F5C99"/>
    <w:rsid w:val="005F60B6"/>
    <w:rsid w:val="005F63FB"/>
    <w:rsid w:val="005F7709"/>
    <w:rsid w:val="005F7898"/>
    <w:rsid w:val="00603902"/>
    <w:rsid w:val="00605A5A"/>
    <w:rsid w:val="00605E33"/>
    <w:rsid w:val="00605FA0"/>
    <w:rsid w:val="0061169D"/>
    <w:rsid w:val="00612153"/>
    <w:rsid w:val="006125A5"/>
    <w:rsid w:val="006150E6"/>
    <w:rsid w:val="00616F23"/>
    <w:rsid w:val="00620005"/>
    <w:rsid w:val="00620299"/>
    <w:rsid w:val="00620951"/>
    <w:rsid w:val="00621A46"/>
    <w:rsid w:val="006223FA"/>
    <w:rsid w:val="00622E85"/>
    <w:rsid w:val="006318CF"/>
    <w:rsid w:val="006328D0"/>
    <w:rsid w:val="00633A8B"/>
    <w:rsid w:val="00633E35"/>
    <w:rsid w:val="00635F24"/>
    <w:rsid w:val="0064407E"/>
    <w:rsid w:val="00655D51"/>
    <w:rsid w:val="00656D23"/>
    <w:rsid w:val="0066075F"/>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410B"/>
    <w:rsid w:val="006B5DFE"/>
    <w:rsid w:val="006C0262"/>
    <w:rsid w:val="006C034E"/>
    <w:rsid w:val="006C209B"/>
    <w:rsid w:val="006C4F8B"/>
    <w:rsid w:val="006C5081"/>
    <w:rsid w:val="006C58DE"/>
    <w:rsid w:val="006C6923"/>
    <w:rsid w:val="006C6AD0"/>
    <w:rsid w:val="006D044B"/>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045"/>
    <w:rsid w:val="00717151"/>
    <w:rsid w:val="00717C64"/>
    <w:rsid w:val="00724AB1"/>
    <w:rsid w:val="00724D55"/>
    <w:rsid w:val="00725EA2"/>
    <w:rsid w:val="007262D5"/>
    <w:rsid w:val="007316C4"/>
    <w:rsid w:val="0073402D"/>
    <w:rsid w:val="00734A4C"/>
    <w:rsid w:val="00734D76"/>
    <w:rsid w:val="0073534D"/>
    <w:rsid w:val="0073718F"/>
    <w:rsid w:val="00737E5D"/>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1D93"/>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5C7"/>
    <w:rsid w:val="007F2938"/>
    <w:rsid w:val="007F49FD"/>
    <w:rsid w:val="007F624D"/>
    <w:rsid w:val="007F676C"/>
    <w:rsid w:val="007F6BFD"/>
    <w:rsid w:val="0080011D"/>
    <w:rsid w:val="008022AC"/>
    <w:rsid w:val="008045F1"/>
    <w:rsid w:val="00805322"/>
    <w:rsid w:val="008110E2"/>
    <w:rsid w:val="008112B4"/>
    <w:rsid w:val="008128F2"/>
    <w:rsid w:val="00813D20"/>
    <w:rsid w:val="00814AEF"/>
    <w:rsid w:val="0081793C"/>
    <w:rsid w:val="008205DC"/>
    <w:rsid w:val="008209AD"/>
    <w:rsid w:val="008266E6"/>
    <w:rsid w:val="00827D2F"/>
    <w:rsid w:val="0083064A"/>
    <w:rsid w:val="00832213"/>
    <w:rsid w:val="00832C76"/>
    <w:rsid w:val="00832E46"/>
    <w:rsid w:val="00835419"/>
    <w:rsid w:val="00840098"/>
    <w:rsid w:val="0084031F"/>
    <w:rsid w:val="00844173"/>
    <w:rsid w:val="0084713E"/>
    <w:rsid w:val="00850AF3"/>
    <w:rsid w:val="008539E3"/>
    <w:rsid w:val="00854CCB"/>
    <w:rsid w:val="008563F7"/>
    <w:rsid w:val="00860394"/>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3036"/>
    <w:rsid w:val="008C46C1"/>
    <w:rsid w:val="008C6025"/>
    <w:rsid w:val="008D255B"/>
    <w:rsid w:val="008D4FA7"/>
    <w:rsid w:val="008D4FBA"/>
    <w:rsid w:val="008D5EDC"/>
    <w:rsid w:val="008E45EB"/>
    <w:rsid w:val="008E4871"/>
    <w:rsid w:val="008E4AF8"/>
    <w:rsid w:val="008E4D72"/>
    <w:rsid w:val="008E6275"/>
    <w:rsid w:val="008E79E0"/>
    <w:rsid w:val="008F00E5"/>
    <w:rsid w:val="008F28E8"/>
    <w:rsid w:val="008F487C"/>
    <w:rsid w:val="009008FA"/>
    <w:rsid w:val="00901332"/>
    <w:rsid w:val="009050F5"/>
    <w:rsid w:val="0090511A"/>
    <w:rsid w:val="0090662E"/>
    <w:rsid w:val="00907D30"/>
    <w:rsid w:val="009127D4"/>
    <w:rsid w:val="009134ED"/>
    <w:rsid w:val="009135B2"/>
    <w:rsid w:val="00916142"/>
    <w:rsid w:val="0091650E"/>
    <w:rsid w:val="0091669A"/>
    <w:rsid w:val="00916D07"/>
    <w:rsid w:val="009179DF"/>
    <w:rsid w:val="009211B3"/>
    <w:rsid w:val="0092292B"/>
    <w:rsid w:val="00923310"/>
    <w:rsid w:val="0092334F"/>
    <w:rsid w:val="00923764"/>
    <w:rsid w:val="00924125"/>
    <w:rsid w:val="009247B4"/>
    <w:rsid w:val="00924B29"/>
    <w:rsid w:val="00924FA2"/>
    <w:rsid w:val="00927AF8"/>
    <w:rsid w:val="00927C92"/>
    <w:rsid w:val="00927E4B"/>
    <w:rsid w:val="00930AB9"/>
    <w:rsid w:val="0093113E"/>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487C"/>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EA8"/>
    <w:rsid w:val="009B0B07"/>
    <w:rsid w:val="009B0CBD"/>
    <w:rsid w:val="009B1545"/>
    <w:rsid w:val="009B1879"/>
    <w:rsid w:val="009B2171"/>
    <w:rsid w:val="009B405A"/>
    <w:rsid w:val="009B429D"/>
    <w:rsid w:val="009B453D"/>
    <w:rsid w:val="009B4F44"/>
    <w:rsid w:val="009C0509"/>
    <w:rsid w:val="009C1138"/>
    <w:rsid w:val="009C2CE8"/>
    <w:rsid w:val="009C36F4"/>
    <w:rsid w:val="009D0704"/>
    <w:rsid w:val="009D22EC"/>
    <w:rsid w:val="009D4C44"/>
    <w:rsid w:val="009D64B1"/>
    <w:rsid w:val="009E0F01"/>
    <w:rsid w:val="009E1494"/>
    <w:rsid w:val="009E4B54"/>
    <w:rsid w:val="009E7C7B"/>
    <w:rsid w:val="009F01D0"/>
    <w:rsid w:val="009F0FB6"/>
    <w:rsid w:val="009F14F8"/>
    <w:rsid w:val="009F15AA"/>
    <w:rsid w:val="009F20AB"/>
    <w:rsid w:val="009F6D71"/>
    <w:rsid w:val="00A0027D"/>
    <w:rsid w:val="00A004B2"/>
    <w:rsid w:val="00A035A4"/>
    <w:rsid w:val="00A0379C"/>
    <w:rsid w:val="00A04ACE"/>
    <w:rsid w:val="00A0680E"/>
    <w:rsid w:val="00A07909"/>
    <w:rsid w:val="00A12C09"/>
    <w:rsid w:val="00A137CE"/>
    <w:rsid w:val="00A141B1"/>
    <w:rsid w:val="00A147FE"/>
    <w:rsid w:val="00A16656"/>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4528C"/>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3D70"/>
    <w:rsid w:val="00A8557B"/>
    <w:rsid w:val="00A85E15"/>
    <w:rsid w:val="00A86074"/>
    <w:rsid w:val="00A86D82"/>
    <w:rsid w:val="00A90EAD"/>
    <w:rsid w:val="00A92283"/>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552F"/>
    <w:rsid w:val="00AE6FA4"/>
    <w:rsid w:val="00AE7A4E"/>
    <w:rsid w:val="00AF04CA"/>
    <w:rsid w:val="00AF0A08"/>
    <w:rsid w:val="00AF144A"/>
    <w:rsid w:val="00AF1DC9"/>
    <w:rsid w:val="00AF3638"/>
    <w:rsid w:val="00AF5365"/>
    <w:rsid w:val="00AF5ADD"/>
    <w:rsid w:val="00AF6A2B"/>
    <w:rsid w:val="00AF7ABB"/>
    <w:rsid w:val="00B0350D"/>
    <w:rsid w:val="00B04006"/>
    <w:rsid w:val="00B12A81"/>
    <w:rsid w:val="00B14FBB"/>
    <w:rsid w:val="00B17774"/>
    <w:rsid w:val="00B17A98"/>
    <w:rsid w:val="00B20635"/>
    <w:rsid w:val="00B217E7"/>
    <w:rsid w:val="00B229F0"/>
    <w:rsid w:val="00B233B5"/>
    <w:rsid w:val="00B234D4"/>
    <w:rsid w:val="00B25F06"/>
    <w:rsid w:val="00B30F86"/>
    <w:rsid w:val="00B35699"/>
    <w:rsid w:val="00B37824"/>
    <w:rsid w:val="00B40493"/>
    <w:rsid w:val="00B406F6"/>
    <w:rsid w:val="00B41E7C"/>
    <w:rsid w:val="00B42BAE"/>
    <w:rsid w:val="00B43688"/>
    <w:rsid w:val="00B44D7C"/>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58CC"/>
    <w:rsid w:val="00B77DAE"/>
    <w:rsid w:val="00B81218"/>
    <w:rsid w:val="00B81837"/>
    <w:rsid w:val="00B82154"/>
    <w:rsid w:val="00B8263E"/>
    <w:rsid w:val="00B8536D"/>
    <w:rsid w:val="00B85769"/>
    <w:rsid w:val="00B864FA"/>
    <w:rsid w:val="00B91C55"/>
    <w:rsid w:val="00B91D48"/>
    <w:rsid w:val="00B91D4C"/>
    <w:rsid w:val="00B930ED"/>
    <w:rsid w:val="00B95395"/>
    <w:rsid w:val="00B95653"/>
    <w:rsid w:val="00B9591C"/>
    <w:rsid w:val="00B95E56"/>
    <w:rsid w:val="00B96ABE"/>
    <w:rsid w:val="00BA144E"/>
    <w:rsid w:val="00BA42F4"/>
    <w:rsid w:val="00BA472B"/>
    <w:rsid w:val="00BA4C41"/>
    <w:rsid w:val="00BA67FD"/>
    <w:rsid w:val="00BA76DE"/>
    <w:rsid w:val="00BB04AB"/>
    <w:rsid w:val="00BB1C4D"/>
    <w:rsid w:val="00BB2CA0"/>
    <w:rsid w:val="00BB37CC"/>
    <w:rsid w:val="00BB558F"/>
    <w:rsid w:val="00BB6FFA"/>
    <w:rsid w:val="00BB7182"/>
    <w:rsid w:val="00BC1BBE"/>
    <w:rsid w:val="00BC341A"/>
    <w:rsid w:val="00BD1397"/>
    <w:rsid w:val="00BD20D3"/>
    <w:rsid w:val="00BD4AA0"/>
    <w:rsid w:val="00BD607C"/>
    <w:rsid w:val="00BD78CD"/>
    <w:rsid w:val="00BE3EFE"/>
    <w:rsid w:val="00BE5E91"/>
    <w:rsid w:val="00BE7630"/>
    <w:rsid w:val="00BF09D3"/>
    <w:rsid w:val="00BF25BC"/>
    <w:rsid w:val="00BF28C2"/>
    <w:rsid w:val="00BF4382"/>
    <w:rsid w:val="00BF481F"/>
    <w:rsid w:val="00BF53E8"/>
    <w:rsid w:val="00C03B59"/>
    <w:rsid w:val="00C046D3"/>
    <w:rsid w:val="00C05526"/>
    <w:rsid w:val="00C05A99"/>
    <w:rsid w:val="00C06314"/>
    <w:rsid w:val="00C11158"/>
    <w:rsid w:val="00C11360"/>
    <w:rsid w:val="00C145FF"/>
    <w:rsid w:val="00C14CEF"/>
    <w:rsid w:val="00C14EB3"/>
    <w:rsid w:val="00C15240"/>
    <w:rsid w:val="00C15AEF"/>
    <w:rsid w:val="00C20081"/>
    <w:rsid w:val="00C208FD"/>
    <w:rsid w:val="00C20BC5"/>
    <w:rsid w:val="00C21A2E"/>
    <w:rsid w:val="00C23A57"/>
    <w:rsid w:val="00C244EA"/>
    <w:rsid w:val="00C25806"/>
    <w:rsid w:val="00C275B8"/>
    <w:rsid w:val="00C27C64"/>
    <w:rsid w:val="00C3116B"/>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7C0"/>
    <w:rsid w:val="00C65E8D"/>
    <w:rsid w:val="00C66EAF"/>
    <w:rsid w:val="00C724C4"/>
    <w:rsid w:val="00C7789E"/>
    <w:rsid w:val="00C7796B"/>
    <w:rsid w:val="00C805D4"/>
    <w:rsid w:val="00C8127E"/>
    <w:rsid w:val="00C836AF"/>
    <w:rsid w:val="00C847FF"/>
    <w:rsid w:val="00C84C42"/>
    <w:rsid w:val="00C85A94"/>
    <w:rsid w:val="00C86826"/>
    <w:rsid w:val="00C86E3B"/>
    <w:rsid w:val="00C87D49"/>
    <w:rsid w:val="00C90B8B"/>
    <w:rsid w:val="00C90D63"/>
    <w:rsid w:val="00C9100D"/>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CF75C5"/>
    <w:rsid w:val="00D02D02"/>
    <w:rsid w:val="00D0307E"/>
    <w:rsid w:val="00D03223"/>
    <w:rsid w:val="00D053AF"/>
    <w:rsid w:val="00D05EF2"/>
    <w:rsid w:val="00D06D70"/>
    <w:rsid w:val="00D06FFE"/>
    <w:rsid w:val="00D1070D"/>
    <w:rsid w:val="00D13988"/>
    <w:rsid w:val="00D157FB"/>
    <w:rsid w:val="00D17395"/>
    <w:rsid w:val="00D2119F"/>
    <w:rsid w:val="00D24558"/>
    <w:rsid w:val="00D25830"/>
    <w:rsid w:val="00D25F0D"/>
    <w:rsid w:val="00D26696"/>
    <w:rsid w:val="00D30193"/>
    <w:rsid w:val="00D31DB8"/>
    <w:rsid w:val="00D3274F"/>
    <w:rsid w:val="00D3489F"/>
    <w:rsid w:val="00D35154"/>
    <w:rsid w:val="00D37500"/>
    <w:rsid w:val="00D41C63"/>
    <w:rsid w:val="00D4404D"/>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5AFD"/>
    <w:rsid w:val="00D96C27"/>
    <w:rsid w:val="00D97E1E"/>
    <w:rsid w:val="00DA0E10"/>
    <w:rsid w:val="00DA2004"/>
    <w:rsid w:val="00DA3423"/>
    <w:rsid w:val="00DA3BC1"/>
    <w:rsid w:val="00DA4BC0"/>
    <w:rsid w:val="00DA7F66"/>
    <w:rsid w:val="00DB1A33"/>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2BA8"/>
    <w:rsid w:val="00E04942"/>
    <w:rsid w:val="00E04D1A"/>
    <w:rsid w:val="00E06480"/>
    <w:rsid w:val="00E06E45"/>
    <w:rsid w:val="00E06E6B"/>
    <w:rsid w:val="00E110D9"/>
    <w:rsid w:val="00E112EC"/>
    <w:rsid w:val="00E13831"/>
    <w:rsid w:val="00E13B58"/>
    <w:rsid w:val="00E13EE1"/>
    <w:rsid w:val="00E20D91"/>
    <w:rsid w:val="00E21686"/>
    <w:rsid w:val="00E22DF9"/>
    <w:rsid w:val="00E24728"/>
    <w:rsid w:val="00E2485B"/>
    <w:rsid w:val="00E24D72"/>
    <w:rsid w:val="00E265A6"/>
    <w:rsid w:val="00E2688A"/>
    <w:rsid w:val="00E26C8C"/>
    <w:rsid w:val="00E377F7"/>
    <w:rsid w:val="00E40966"/>
    <w:rsid w:val="00E41D12"/>
    <w:rsid w:val="00E423AD"/>
    <w:rsid w:val="00E51731"/>
    <w:rsid w:val="00E51A8C"/>
    <w:rsid w:val="00E528E0"/>
    <w:rsid w:val="00E5392D"/>
    <w:rsid w:val="00E552F4"/>
    <w:rsid w:val="00E56AC4"/>
    <w:rsid w:val="00E628D8"/>
    <w:rsid w:val="00E63184"/>
    <w:rsid w:val="00E64E73"/>
    <w:rsid w:val="00E71FAF"/>
    <w:rsid w:val="00E737D6"/>
    <w:rsid w:val="00E74340"/>
    <w:rsid w:val="00E773EA"/>
    <w:rsid w:val="00E810ED"/>
    <w:rsid w:val="00E83A16"/>
    <w:rsid w:val="00E86C6E"/>
    <w:rsid w:val="00E8703B"/>
    <w:rsid w:val="00E87BE0"/>
    <w:rsid w:val="00E90151"/>
    <w:rsid w:val="00E933A1"/>
    <w:rsid w:val="00E93E1F"/>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228"/>
    <w:rsid w:val="00EF49E7"/>
    <w:rsid w:val="00EF5A8D"/>
    <w:rsid w:val="00EF6573"/>
    <w:rsid w:val="00F00ACD"/>
    <w:rsid w:val="00F0329E"/>
    <w:rsid w:val="00F056B1"/>
    <w:rsid w:val="00F05A54"/>
    <w:rsid w:val="00F05F90"/>
    <w:rsid w:val="00F06651"/>
    <w:rsid w:val="00F06A19"/>
    <w:rsid w:val="00F07164"/>
    <w:rsid w:val="00F073E6"/>
    <w:rsid w:val="00F07400"/>
    <w:rsid w:val="00F10D93"/>
    <w:rsid w:val="00F11C8D"/>
    <w:rsid w:val="00F15D35"/>
    <w:rsid w:val="00F1637A"/>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67DD2"/>
    <w:rsid w:val="00F70D3E"/>
    <w:rsid w:val="00F72261"/>
    <w:rsid w:val="00F808BF"/>
    <w:rsid w:val="00F81944"/>
    <w:rsid w:val="00F87267"/>
    <w:rsid w:val="00F91114"/>
    <w:rsid w:val="00F91310"/>
    <w:rsid w:val="00F9160D"/>
    <w:rsid w:val="00F91B20"/>
    <w:rsid w:val="00F92476"/>
    <w:rsid w:val="00F92840"/>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C69EA"/>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uiPriority="35"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uiPriority="67"/>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uiPriority w:val="22"/>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uiPriority w:val="99"/>
    <w:rsid w:val="00AD14C0"/>
  </w:style>
  <w:style w:type="paragraph" w:styleId="Encabezado">
    <w:name w:val="header"/>
    <w:basedOn w:val="Normal"/>
    <w:link w:val="EncabezadoCar"/>
    <w:uiPriority w:val="99"/>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media1-nfasis6">
    <w:name w:val="Medium Grid 1 Accent 6"/>
    <w:basedOn w:val="Tablanormal"/>
    <w:uiPriority w:val="67"/>
    <w:semiHidden/>
    <w:unhideWhenUsed/>
    <w:rsid w:val="00DB1A33"/>
    <w:rPr>
      <w:rFonts w:asciiTheme="minorHAnsi" w:eastAsiaTheme="minorEastAsia" w:hAnsiTheme="minorHAnsi" w:cstheme="minorBidi"/>
      <w:sz w:val="22"/>
      <w:szCs w:val="22"/>
      <w:lang w:val="es-EC" w:eastAsia="en-US"/>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Tabladelista2-nfasis6">
    <w:name w:val="List Table 2 Accent 6"/>
    <w:basedOn w:val="Tablanormal"/>
    <w:rsid w:val="00526BDB"/>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5">
    <w:name w:val="List Table 2 Accent 5"/>
    <w:basedOn w:val="Tablanormal"/>
    <w:rsid w:val="00526BDB"/>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2-nfasis4">
    <w:name w:val="List Table 2 Accent 4"/>
    <w:basedOn w:val="Tablanormal"/>
    <w:rsid w:val="00526BDB"/>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7986886">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296061784">
      <w:bodyDiv w:val="1"/>
      <w:marLeft w:val="0"/>
      <w:marRight w:val="0"/>
      <w:marTop w:val="0"/>
      <w:marBottom w:val="0"/>
      <w:divBdr>
        <w:top w:val="none" w:sz="0" w:space="0" w:color="auto"/>
        <w:left w:val="none" w:sz="0" w:space="0" w:color="auto"/>
        <w:bottom w:val="none" w:sz="0" w:space="0" w:color="auto"/>
        <w:right w:val="none" w:sz="0" w:space="0" w:color="auto"/>
      </w:divBdr>
      <w:divsChild>
        <w:div w:id="626666581">
          <w:marLeft w:val="547"/>
          <w:marRight w:val="0"/>
          <w:marTop w:val="0"/>
          <w:marBottom w:val="0"/>
          <w:divBdr>
            <w:top w:val="none" w:sz="0" w:space="0" w:color="auto"/>
            <w:left w:val="none" w:sz="0" w:space="0" w:color="auto"/>
            <w:bottom w:val="none" w:sz="0" w:space="0" w:color="auto"/>
            <w:right w:val="none" w:sz="0" w:space="0" w:color="auto"/>
          </w:divBdr>
        </w:div>
      </w:divsChild>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73734938">
      <w:bodyDiv w:val="1"/>
      <w:marLeft w:val="0"/>
      <w:marRight w:val="0"/>
      <w:marTop w:val="0"/>
      <w:marBottom w:val="0"/>
      <w:divBdr>
        <w:top w:val="none" w:sz="0" w:space="0" w:color="auto"/>
        <w:left w:val="none" w:sz="0" w:space="0" w:color="auto"/>
        <w:bottom w:val="none" w:sz="0" w:space="0" w:color="auto"/>
        <w:right w:val="none" w:sz="0" w:space="0" w:color="auto"/>
      </w:divBdr>
    </w:div>
    <w:div w:id="1588660018">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49557997">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150772820064143E-2"/>
          <c:y val="0.16666666666666666"/>
          <c:w val="0.88738626421697286"/>
          <c:h val="0.65062148481439819"/>
        </c:manualLayout>
      </c:layout>
      <c:barChart>
        <c:barDir val="col"/>
        <c:grouping val="clustered"/>
        <c:varyColors val="0"/>
        <c:ser>
          <c:idx val="0"/>
          <c:order val="0"/>
          <c:tx>
            <c:strRef>
              <c:f>Hoja1!$B$1</c:f>
              <c:strCache>
                <c:ptCount val="1"/>
                <c:pt idx="0">
                  <c:v>pH</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noFill/>
              <a:round/>
            </a:ln>
            <a:effectLst/>
          </c:spPr>
          <c:invertIfNegative val="0"/>
          <c:dPt>
            <c:idx val="0"/>
            <c:invertIfNegative val="0"/>
            <c:bubble3D val="0"/>
            <c:spPr>
              <a:solidFill>
                <a:schemeClr val="accent6">
                  <a:lumMod val="60000"/>
                  <a:lumOff val="40000"/>
                </a:schemeClr>
              </a:solidFill>
              <a:ln w="9525" cap="flat" cmpd="sng" algn="ctr">
                <a:noFill/>
                <a:round/>
              </a:ln>
              <a:effectLst/>
            </c:spPr>
            <c:extLst xmlns:c16r2="http://schemas.microsoft.com/office/drawing/2015/06/chart">
              <c:ext xmlns:c16="http://schemas.microsoft.com/office/drawing/2014/chart" uri="{C3380CC4-5D6E-409C-BE32-E72D297353CC}">
                <c16:uniqueId val="{00000001-07CB-49B6-A56D-B871F3506FEC}"/>
              </c:ext>
            </c:extLst>
          </c:dPt>
          <c:dPt>
            <c:idx val="1"/>
            <c:invertIfNegative val="0"/>
            <c:bubble3D val="0"/>
            <c:spPr>
              <a:solidFill>
                <a:schemeClr val="accent2">
                  <a:lumMod val="75000"/>
                </a:schemeClr>
              </a:solidFill>
              <a:ln w="9525" cap="flat" cmpd="sng" algn="ctr">
                <a:noFill/>
                <a:round/>
              </a:ln>
              <a:effectLst/>
            </c:spPr>
            <c:extLst xmlns:c16r2="http://schemas.microsoft.com/office/drawing/2015/06/chart">
              <c:ext xmlns:c16="http://schemas.microsoft.com/office/drawing/2014/chart" uri="{C3380CC4-5D6E-409C-BE32-E72D297353CC}">
                <c16:uniqueId val="{00000003-07CB-49B6-A56D-B871F3506FEC}"/>
              </c:ext>
            </c:extLst>
          </c:dPt>
          <c:dLbls>
            <c:dLbl>
              <c:idx val="0"/>
              <c:tx>
                <c:rich>
                  <a:bodyPr/>
                  <a:lstStyle/>
                  <a:p>
                    <a:r>
                      <a:rPr lang="en-US"/>
                      <a:t>4.000,00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CB-49B6-A56D-B871F3506FEC}"/>
                </c:ext>
                <c:ext xmlns:c15="http://schemas.microsoft.com/office/drawing/2012/chart" uri="{CE6537A1-D6FC-4f65-9D91-7224C49458BB}"/>
              </c:extLst>
            </c:dLbl>
            <c:dLbl>
              <c:idx val="1"/>
              <c:tx>
                <c:rich>
                  <a:bodyPr/>
                  <a:lstStyle/>
                  <a:p>
                    <a:r>
                      <a:rPr lang="en-US"/>
                      <a:t>1.700,00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7CB-49B6-A56D-B871F3506FEC}"/>
                </c:ext>
                <c:ext xmlns:c15="http://schemas.microsoft.com/office/drawing/2012/chart" uri="{CE6537A1-D6FC-4f65-9D91-7224C49458BB}"/>
              </c:extLst>
            </c:dLbl>
            <c:dLbl>
              <c:idx val="2"/>
              <c:tx>
                <c:rich>
                  <a:bodyPr/>
                  <a:lstStyle/>
                  <a:p>
                    <a:r>
                      <a:rPr lang="en-US"/>
                      <a:t>1.000,00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7CB-49B6-A56D-B871F3506FEC}"/>
                </c:ext>
                <c:ext xmlns:c15="http://schemas.microsoft.com/office/drawing/2012/chart" uri="{CE6537A1-D6FC-4f65-9D91-7224C49458BB}"/>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Punto 1</c:v>
                </c:pt>
                <c:pt idx="1">
                  <c:v>Punto 2</c:v>
                </c:pt>
                <c:pt idx="2">
                  <c:v>Punto 3</c:v>
                </c:pt>
              </c:strCache>
            </c:strRef>
          </c:cat>
          <c:val>
            <c:numRef>
              <c:f>Hoja1!$B$2:$B$4</c:f>
              <c:numCache>
                <c:formatCode>ge\r\a\l</c:formatCode>
                <c:ptCount val="3"/>
                <c:pt idx="0">
                  <c:v>4000</c:v>
                </c:pt>
                <c:pt idx="1">
                  <c:v>17000</c:v>
                </c:pt>
                <c:pt idx="2">
                  <c:v>1000</c:v>
                </c:pt>
              </c:numCache>
            </c:numRef>
          </c:val>
          <c:extLst xmlns:c16r2="http://schemas.microsoft.com/office/drawing/2015/06/chart">
            <c:ext xmlns:c16="http://schemas.microsoft.com/office/drawing/2014/chart" uri="{C3380CC4-5D6E-409C-BE32-E72D297353CC}">
              <c16:uniqueId val="{00000004-07CB-49B6-A56D-B871F3506FEC}"/>
            </c:ext>
          </c:extLst>
        </c:ser>
        <c:dLbls>
          <c:dLblPos val="outEnd"/>
          <c:showLegendKey val="0"/>
          <c:showVal val="1"/>
          <c:showCatName val="0"/>
          <c:showSerName val="0"/>
          <c:showPercent val="0"/>
          <c:showBubbleSize val="0"/>
        </c:dLbls>
        <c:gapWidth val="100"/>
        <c:axId val="871153592"/>
        <c:axId val="871161824"/>
      </c:barChart>
      <c:catAx>
        <c:axId val="871153592"/>
        <c:scaling>
          <c:orientation val="minMax"/>
        </c:scaling>
        <c:delete val="0"/>
        <c:axPos val="b"/>
        <c:title>
          <c:tx>
            <c:rich>
              <a:bodyPr rot="0" vert="horz"/>
              <a:lstStyle/>
              <a:p>
                <a:pPr algn="ctr" rtl="0">
                  <a:defRPr/>
                </a:pPr>
                <a:r>
                  <a:rPr lang="es-EC"/>
                  <a:t>Coliformes fecales [NMP/100ml]</a:t>
                </a:r>
              </a:p>
            </c:rich>
          </c:tx>
          <c:layout>
            <c:manualLayout>
              <c:xMode val="edge"/>
              <c:yMode val="edge"/>
              <c:x val="0.40025797890505316"/>
              <c:y val="0.918511904761904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871161824"/>
        <c:crosses val="autoZero"/>
        <c:auto val="1"/>
        <c:lblAlgn val="ctr"/>
        <c:lblOffset val="100"/>
        <c:noMultiLvlLbl val="0"/>
      </c:catAx>
      <c:valAx>
        <c:axId val="871161824"/>
        <c:scaling>
          <c:orientation val="minMax"/>
        </c:scaling>
        <c:delete val="0"/>
        <c:axPos val="l"/>
        <c:numFmt formatCode="ge\r\a\l" sourceLinked="1"/>
        <c:majorTickMark val="none"/>
        <c:minorTickMark val="none"/>
        <c:tickLblPos val="nextTo"/>
        <c:spPr>
          <a:noFill/>
          <a:ln>
            <a:noFill/>
          </a:ln>
          <a:effectLst/>
        </c:spPr>
        <c:txPr>
          <a:bodyPr rot="-60000000" vert="horz"/>
          <a:lstStyle/>
          <a:p>
            <a:pPr>
              <a:defRPr/>
            </a:pPr>
            <a:endParaRPr lang="es-EC"/>
          </a:p>
        </c:txPr>
        <c:crossAx val="871153592"/>
        <c:crosses val="autoZero"/>
        <c:crossBetween val="between"/>
      </c:valAx>
      <c:spPr>
        <a:noFill/>
        <a:ln>
          <a:noFill/>
        </a:ln>
        <a:effectLst/>
      </c:spPr>
    </c:plotArea>
    <c:legend>
      <c:legendPos val="b"/>
      <c:layout>
        <c:manualLayout>
          <c:xMode val="edge"/>
          <c:yMode val="edge"/>
          <c:x val="0.33342036706378247"/>
          <c:y val="2.4304930633670792E-2"/>
          <c:w val="0.31959700349956255"/>
          <c:h val="6.6964754405699281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236512102653832E-2"/>
          <c:y val="0.15476190476190474"/>
          <c:w val="0.90330052493438318"/>
          <c:h val="0.65062148481439819"/>
        </c:manualLayout>
      </c:layout>
      <c:barChart>
        <c:barDir val="col"/>
        <c:grouping val="clustered"/>
        <c:varyColors val="0"/>
        <c:ser>
          <c:idx val="0"/>
          <c:order val="0"/>
          <c:tx>
            <c:strRef>
              <c:f>Hoja1!$B$1</c:f>
              <c:strCache>
                <c:ptCount val="1"/>
                <c:pt idx="0">
                  <c:v>pH</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noFill/>
              <a:round/>
            </a:ln>
            <a:effectLst/>
          </c:spPr>
          <c:invertIfNegative val="0"/>
          <c:dPt>
            <c:idx val="0"/>
            <c:invertIfNegative val="0"/>
            <c:bubble3D val="0"/>
            <c:spPr>
              <a:solidFill>
                <a:schemeClr val="accent6">
                  <a:lumMod val="60000"/>
                  <a:lumOff val="40000"/>
                </a:schemeClr>
              </a:solidFill>
              <a:ln w="9525" cap="flat" cmpd="sng" algn="ctr">
                <a:noFill/>
                <a:round/>
              </a:ln>
              <a:effectLst/>
            </c:spPr>
            <c:extLst xmlns:c16r2="http://schemas.microsoft.com/office/drawing/2015/06/chart">
              <c:ext xmlns:c16="http://schemas.microsoft.com/office/drawing/2014/chart" uri="{C3380CC4-5D6E-409C-BE32-E72D297353CC}">
                <c16:uniqueId val="{00000007-39EE-4EB3-A564-FEAD1A4DE34C}"/>
              </c:ext>
            </c:extLst>
          </c:dPt>
          <c:dPt>
            <c:idx val="1"/>
            <c:invertIfNegative val="0"/>
            <c:bubble3D val="0"/>
            <c:spPr>
              <a:solidFill>
                <a:schemeClr val="accent2">
                  <a:lumMod val="75000"/>
                </a:schemeClr>
              </a:solidFill>
              <a:ln w="9525" cap="flat" cmpd="sng" algn="ctr">
                <a:noFill/>
                <a:round/>
              </a:ln>
              <a:effectLst/>
            </c:spPr>
            <c:extLst xmlns:c16r2="http://schemas.microsoft.com/office/drawing/2015/06/chart">
              <c:ext xmlns:c16="http://schemas.microsoft.com/office/drawing/2014/chart" uri="{C3380CC4-5D6E-409C-BE32-E72D297353CC}">
                <c16:uniqueId val="{00000008-39EE-4EB3-A564-FEAD1A4DE34C}"/>
              </c:ext>
            </c:extLst>
          </c:dPt>
          <c:dLbls>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Punto 1</c:v>
                </c:pt>
                <c:pt idx="1">
                  <c:v>Punto 2</c:v>
                </c:pt>
                <c:pt idx="2">
                  <c:v>Punto 3</c:v>
                </c:pt>
              </c:strCache>
            </c:strRef>
          </c:cat>
          <c:val>
            <c:numRef>
              <c:f>Hoja1!$B$2:$B$4</c:f>
              <c:numCache>
                <c:formatCode>ge\r\a\l</c:formatCode>
                <c:ptCount val="3"/>
                <c:pt idx="0">
                  <c:v>7.74</c:v>
                </c:pt>
                <c:pt idx="1">
                  <c:v>7.78</c:v>
                </c:pt>
                <c:pt idx="2">
                  <c:v>7.93</c:v>
                </c:pt>
              </c:numCache>
            </c:numRef>
          </c:val>
          <c:extLst xmlns:c16r2="http://schemas.microsoft.com/office/drawing/2015/06/chart">
            <c:ext xmlns:c16="http://schemas.microsoft.com/office/drawing/2014/chart" uri="{C3380CC4-5D6E-409C-BE32-E72D297353CC}">
              <c16:uniqueId val="{00000000-39EE-4EB3-A564-FEAD1A4DE34C}"/>
            </c:ext>
          </c:extLst>
        </c:ser>
        <c:dLbls>
          <c:dLblPos val="outEnd"/>
          <c:showLegendKey val="0"/>
          <c:showVal val="1"/>
          <c:showCatName val="0"/>
          <c:showSerName val="0"/>
          <c:showPercent val="0"/>
          <c:showBubbleSize val="0"/>
        </c:dLbls>
        <c:gapWidth val="100"/>
        <c:axId val="871151632"/>
        <c:axId val="871154376"/>
      </c:barChart>
      <c:catAx>
        <c:axId val="871151632"/>
        <c:scaling>
          <c:orientation val="minMax"/>
        </c:scaling>
        <c:delete val="0"/>
        <c:axPos val="b"/>
        <c:title>
          <c:tx>
            <c:rich>
              <a:bodyPr rot="0" vert="horz"/>
              <a:lstStyle/>
              <a:p>
                <a:pPr algn="ctr" rtl="0">
                  <a:defRPr/>
                </a:pPr>
                <a:r>
                  <a:rPr lang="es-EC"/>
                  <a:t>pH [unidades]</a:t>
                </a:r>
              </a:p>
            </c:rich>
          </c:tx>
          <c:layout>
            <c:manualLayout>
              <c:xMode val="edge"/>
              <c:yMode val="edge"/>
              <c:x val="0.46259158781622878"/>
              <c:y val="0.906542056074766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871154376"/>
        <c:crosses val="autoZero"/>
        <c:auto val="1"/>
        <c:lblAlgn val="ctr"/>
        <c:lblOffset val="100"/>
        <c:noMultiLvlLbl val="0"/>
      </c:catAx>
      <c:valAx>
        <c:axId val="871154376"/>
        <c:scaling>
          <c:orientation val="minMax"/>
        </c:scaling>
        <c:delete val="0"/>
        <c:axPos val="l"/>
        <c:numFmt formatCode="ge\r\a\l" sourceLinked="1"/>
        <c:majorTickMark val="none"/>
        <c:minorTickMark val="none"/>
        <c:tickLblPos val="nextTo"/>
        <c:spPr>
          <a:noFill/>
          <a:ln>
            <a:noFill/>
          </a:ln>
          <a:effectLst/>
        </c:spPr>
        <c:txPr>
          <a:bodyPr rot="-60000000" vert="horz"/>
          <a:lstStyle/>
          <a:p>
            <a:pPr>
              <a:defRPr/>
            </a:pPr>
            <a:endParaRPr lang="es-EC"/>
          </a:p>
        </c:txPr>
        <c:crossAx val="871151632"/>
        <c:crosses val="autoZero"/>
        <c:crossBetween val="between"/>
      </c:valAx>
      <c:spPr>
        <a:noFill/>
        <a:ln>
          <a:noFill/>
        </a:ln>
        <a:effectLst/>
      </c:spPr>
    </c:plotArea>
    <c:legend>
      <c:legendPos val="b"/>
      <c:layout>
        <c:manualLayout>
          <c:xMode val="edge"/>
          <c:yMode val="edge"/>
          <c:x val="0.33094214785651788"/>
          <c:y val="4.4146356705411789E-2"/>
          <c:w val="0.31959700349956255"/>
          <c:h val="6.6964754405699281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039661708953049E-2"/>
          <c:y val="9.1269841269841265E-2"/>
          <c:w val="0.90849737532808394"/>
          <c:h val="0.64578021497312832"/>
        </c:manualLayout>
      </c:layout>
      <c:barChart>
        <c:barDir val="col"/>
        <c:grouping val="clustered"/>
        <c:varyColors val="0"/>
        <c:ser>
          <c:idx val="0"/>
          <c:order val="0"/>
          <c:tx>
            <c:strRef>
              <c:f>Hoja1!$B$1</c:f>
              <c:strCache>
                <c:ptCount val="1"/>
                <c:pt idx="0">
                  <c:v>DBO5</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noFill/>
              <a:round/>
            </a:ln>
            <a:effectLst/>
          </c:spPr>
          <c:invertIfNegative val="0"/>
          <c:dPt>
            <c:idx val="0"/>
            <c:invertIfNegative val="0"/>
            <c:bubble3D val="0"/>
            <c:spPr>
              <a:solidFill>
                <a:schemeClr val="accent6">
                  <a:lumMod val="60000"/>
                  <a:lumOff val="40000"/>
                </a:schemeClr>
              </a:solidFill>
              <a:ln w="9525" cap="flat" cmpd="sng" algn="ctr">
                <a:noFill/>
                <a:round/>
              </a:ln>
              <a:effectLst/>
            </c:spPr>
            <c:extLst xmlns:c16r2="http://schemas.microsoft.com/office/drawing/2015/06/chart">
              <c:ext xmlns:c16="http://schemas.microsoft.com/office/drawing/2014/chart" uri="{C3380CC4-5D6E-409C-BE32-E72D297353CC}">
                <c16:uniqueId val="{00000001-80ED-4F22-8F7C-2831A91045F1}"/>
              </c:ext>
            </c:extLst>
          </c:dPt>
          <c:dPt>
            <c:idx val="1"/>
            <c:invertIfNegative val="0"/>
            <c:bubble3D val="0"/>
            <c:spPr>
              <a:solidFill>
                <a:schemeClr val="accent2">
                  <a:lumMod val="75000"/>
                </a:schemeClr>
              </a:solidFill>
              <a:ln w="9525" cap="flat" cmpd="sng" algn="ctr">
                <a:noFill/>
                <a:round/>
              </a:ln>
              <a:effectLst/>
            </c:spPr>
            <c:extLst xmlns:c16r2="http://schemas.microsoft.com/office/drawing/2015/06/chart">
              <c:ext xmlns:c16="http://schemas.microsoft.com/office/drawing/2014/chart" uri="{C3380CC4-5D6E-409C-BE32-E72D297353CC}">
                <c16:uniqueId val="{00000003-80ED-4F22-8F7C-2831A91045F1}"/>
              </c:ext>
            </c:extLst>
          </c:dPt>
          <c:dLbls>
            <c:dLbl>
              <c:idx val="0"/>
              <c:tx>
                <c:rich>
                  <a:bodyPr/>
                  <a:lstStyle/>
                  <a:p>
                    <a:fld id="{4E785B6C-825B-44DF-A452-6CBE94D427FF}" type="VALUE">
                      <a:rPr lang="en-US"/>
                      <a:pPr/>
                      <a:t>[VALOR]</a:t>
                    </a:fld>
                    <a:r>
                      <a:rPr lang="en-US"/>
                      <a:t>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ED-4F22-8F7C-2831A91045F1}"/>
                </c:ext>
                <c:ext xmlns:c15="http://schemas.microsoft.com/office/drawing/2012/chart" uri="{CE6537A1-D6FC-4f65-9D91-7224C49458BB}">
                  <c15:dlblFieldTable/>
                  <c15:showDataLabelsRange val="0"/>
                </c:ext>
              </c:extLst>
            </c:dLbl>
            <c:dLbl>
              <c:idx val="1"/>
              <c:tx>
                <c:rich>
                  <a:bodyPr/>
                  <a:lstStyle/>
                  <a:p>
                    <a:fld id="{B913DB64-31A9-4136-9CF1-F3995D42B360}" type="VALUE">
                      <a:rPr lang="en-US"/>
                      <a:pPr/>
                      <a:t>[VALOR]</a:t>
                    </a:fld>
                    <a:r>
                      <a:rPr lang="en-US"/>
                      <a:t>,00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ED-4F22-8F7C-2831A91045F1}"/>
                </c:ext>
                <c:ext xmlns:c15="http://schemas.microsoft.com/office/drawing/2012/chart" uri="{CE6537A1-D6FC-4f65-9D91-7224C49458BB}">
                  <c15:dlblFieldTable/>
                  <c15:showDataLabelsRange val="0"/>
                </c:ext>
              </c:extLst>
            </c:dLbl>
            <c:dLbl>
              <c:idx val="2"/>
              <c:tx>
                <c:rich>
                  <a:bodyPr/>
                  <a:lstStyle/>
                  <a:p>
                    <a:fld id="{2513A15B-7303-493A-9B8E-4506DD29597C}" type="VALUE">
                      <a:rPr lang="en-US"/>
                      <a:pPr/>
                      <a:t>[VALOR]</a:t>
                    </a:fld>
                    <a:r>
                      <a:rPr lang="en-US"/>
                      <a:t>,00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ED-4F22-8F7C-2831A91045F1}"/>
                </c:ext>
                <c:ext xmlns:c15="http://schemas.microsoft.com/office/drawing/2012/chart" uri="{CE6537A1-D6FC-4f65-9D91-7224C49458BB}">
                  <c15:dlblFieldTable/>
                  <c15:showDataLabelsRange val="0"/>
                </c:ext>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Punto 1</c:v>
                </c:pt>
                <c:pt idx="1">
                  <c:v>Punto 2</c:v>
                </c:pt>
                <c:pt idx="2">
                  <c:v>Punto 3</c:v>
                </c:pt>
              </c:strCache>
            </c:strRef>
          </c:cat>
          <c:val>
            <c:numRef>
              <c:f>Hoja1!$B$2:$B$4</c:f>
              <c:numCache>
                <c:formatCode>ge\r\a\l</c:formatCode>
                <c:ptCount val="3"/>
                <c:pt idx="0">
                  <c:v>2.7</c:v>
                </c:pt>
                <c:pt idx="1">
                  <c:v>36</c:v>
                </c:pt>
                <c:pt idx="2">
                  <c:v>93</c:v>
                </c:pt>
              </c:numCache>
            </c:numRef>
          </c:val>
          <c:extLst xmlns:c16r2="http://schemas.microsoft.com/office/drawing/2015/06/chart">
            <c:ext xmlns:c16="http://schemas.microsoft.com/office/drawing/2014/chart" uri="{C3380CC4-5D6E-409C-BE32-E72D297353CC}">
              <c16:uniqueId val="{00000004-80ED-4F22-8F7C-2831A91045F1}"/>
            </c:ext>
          </c:extLst>
        </c:ser>
        <c:dLbls>
          <c:dLblPos val="outEnd"/>
          <c:showLegendKey val="0"/>
          <c:showVal val="1"/>
          <c:showCatName val="0"/>
          <c:showSerName val="0"/>
          <c:showPercent val="0"/>
          <c:showBubbleSize val="0"/>
        </c:dLbls>
        <c:gapWidth val="100"/>
        <c:axId val="871165352"/>
        <c:axId val="871163784"/>
      </c:barChart>
      <c:catAx>
        <c:axId val="871165352"/>
        <c:scaling>
          <c:orientation val="minMax"/>
        </c:scaling>
        <c:delete val="0"/>
        <c:axPos val="b"/>
        <c:title>
          <c:tx>
            <c:rich>
              <a:bodyPr rot="0" vert="horz"/>
              <a:lstStyle/>
              <a:p>
                <a:pPr algn="ctr" rtl="0">
                  <a:defRPr/>
                </a:pPr>
                <a:r>
                  <a:rPr lang="es-EC"/>
                  <a:t>Demanda bioquímica de oxígeno [mg/L] </a:t>
                </a:r>
              </a:p>
              <a:p>
                <a:pPr algn="ctr" rtl="0">
                  <a:defRPr/>
                </a:pPr>
                <a:endParaRPr lang="es-EC"/>
              </a:p>
            </c:rich>
          </c:tx>
          <c:layout>
            <c:manualLayout>
              <c:xMode val="edge"/>
              <c:yMode val="edge"/>
              <c:x val="0.33479057305336835"/>
              <c:y val="0.881606674165729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871163784"/>
        <c:crosses val="autoZero"/>
        <c:auto val="1"/>
        <c:lblAlgn val="ctr"/>
        <c:lblOffset val="100"/>
        <c:noMultiLvlLbl val="0"/>
      </c:catAx>
      <c:valAx>
        <c:axId val="871163784"/>
        <c:scaling>
          <c:orientation val="minMax"/>
        </c:scaling>
        <c:delete val="0"/>
        <c:axPos val="l"/>
        <c:numFmt formatCode="ge\r\a\l" sourceLinked="1"/>
        <c:majorTickMark val="none"/>
        <c:minorTickMark val="none"/>
        <c:tickLblPos val="nextTo"/>
        <c:spPr>
          <a:noFill/>
          <a:ln>
            <a:noFill/>
          </a:ln>
          <a:effectLst/>
        </c:spPr>
        <c:txPr>
          <a:bodyPr rot="-60000000" vert="horz"/>
          <a:lstStyle/>
          <a:p>
            <a:pPr>
              <a:defRPr/>
            </a:pPr>
            <a:endParaRPr lang="es-EC"/>
          </a:p>
        </c:txPr>
        <c:crossAx val="871165352"/>
        <c:crosses val="autoZero"/>
        <c:crossBetween val="between"/>
      </c:valAx>
      <c:spPr>
        <a:noFill/>
        <a:ln>
          <a:noFill/>
        </a:ln>
        <a:effectLst/>
      </c:spPr>
    </c:plotArea>
    <c:legend>
      <c:legendPos val="b"/>
      <c:layout>
        <c:manualLayout>
          <c:xMode val="edge"/>
          <c:yMode val="edge"/>
          <c:x val="0.33094214785651788"/>
          <c:y val="4.4146356705411789E-2"/>
          <c:w val="0.31959700349956255"/>
          <c:h val="6.6964754405699281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39417530435814"/>
          <c:y val="6.8535825545171333E-2"/>
          <c:w val="0.85798498351547869"/>
          <c:h val="0.66368091838987431"/>
        </c:manualLayout>
      </c:layout>
      <c:barChart>
        <c:barDir val="col"/>
        <c:grouping val="clustered"/>
        <c:varyColors val="0"/>
        <c:ser>
          <c:idx val="0"/>
          <c:order val="0"/>
          <c:tx>
            <c:strRef>
              <c:f>Hoja1!$B$1</c:f>
              <c:strCache>
                <c:ptCount val="1"/>
                <c:pt idx="0">
                  <c:v>DBO5</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noFill/>
              <a:round/>
            </a:ln>
            <a:effectLst/>
          </c:spPr>
          <c:invertIfNegative val="0"/>
          <c:dPt>
            <c:idx val="0"/>
            <c:invertIfNegative val="0"/>
            <c:bubble3D val="0"/>
            <c:spPr>
              <a:solidFill>
                <a:schemeClr val="accent6">
                  <a:lumMod val="60000"/>
                  <a:lumOff val="40000"/>
                </a:schemeClr>
              </a:solidFill>
              <a:ln w="9525" cap="flat" cmpd="sng" algn="ctr">
                <a:noFill/>
                <a:round/>
              </a:ln>
              <a:effectLst/>
            </c:spPr>
            <c:extLst xmlns:c16r2="http://schemas.microsoft.com/office/drawing/2015/06/chart">
              <c:ext xmlns:c16="http://schemas.microsoft.com/office/drawing/2014/chart" uri="{C3380CC4-5D6E-409C-BE32-E72D297353CC}">
                <c16:uniqueId val="{00000001-B9DB-4241-80CA-E514D9E538C1}"/>
              </c:ext>
            </c:extLst>
          </c:dPt>
          <c:dPt>
            <c:idx val="1"/>
            <c:invertIfNegative val="0"/>
            <c:bubble3D val="0"/>
            <c:spPr>
              <a:solidFill>
                <a:schemeClr val="accent2">
                  <a:lumMod val="75000"/>
                </a:schemeClr>
              </a:solidFill>
              <a:ln w="9525" cap="flat" cmpd="sng" algn="ctr">
                <a:noFill/>
                <a:round/>
              </a:ln>
              <a:effectLst/>
            </c:spPr>
            <c:extLst xmlns:c16r2="http://schemas.microsoft.com/office/drawing/2015/06/chart">
              <c:ext xmlns:c16="http://schemas.microsoft.com/office/drawing/2014/chart" uri="{C3380CC4-5D6E-409C-BE32-E72D297353CC}">
                <c16:uniqueId val="{00000003-B9DB-4241-80CA-E514D9E538C1}"/>
              </c:ext>
            </c:extLst>
          </c:dPt>
          <c:dLbls>
            <c:dLbl>
              <c:idx val="0"/>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DB-4241-80CA-E514D9E538C1}"/>
                </c:ext>
                <c:ext xmlns:c15="http://schemas.microsoft.com/office/drawing/2012/chart" uri="{CE6537A1-D6FC-4f65-9D91-7224C49458BB}"/>
              </c:extLst>
            </c:dLbl>
            <c:dLbl>
              <c:idx val="1"/>
              <c:tx>
                <c:rich>
                  <a:bodyPr/>
                  <a:lstStyle/>
                  <a:p>
                    <a:fld id="{1E4268C4-1084-43D8-8DC5-317CD8FB29CC}" type="VALUE">
                      <a:rPr lang="en-US"/>
                      <a:pPr/>
                      <a:t>[VALOR]</a:t>
                    </a:fld>
                    <a:r>
                      <a:rPr lang="en-US"/>
                      <a:t>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DB-4241-80CA-E514D9E538C1}"/>
                </c:ext>
                <c:ext xmlns:c15="http://schemas.microsoft.com/office/drawing/2012/chart" uri="{CE6537A1-D6FC-4f65-9D91-7224C49458BB}">
                  <c15:dlblFieldTable/>
                  <c15:showDataLabelsRange val="0"/>
                </c:ext>
              </c:extLst>
            </c:dLbl>
            <c:dLbl>
              <c:idx val="2"/>
              <c:tx>
                <c:rich>
                  <a:bodyPr/>
                  <a:lstStyle/>
                  <a:p>
                    <a:fld id="{753B710E-13A2-4C77-9F3D-000B35F2D15F}" type="VALUE">
                      <a:rPr lang="en-US"/>
                      <a:pPr/>
                      <a:t>[VALOR]</a:t>
                    </a:fld>
                    <a:r>
                      <a:rPr lang="en-US"/>
                      <a:t>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9DB-4241-80CA-E514D9E538C1}"/>
                </c:ext>
                <c:ext xmlns:c15="http://schemas.microsoft.com/office/drawing/2012/chart" uri="{CE6537A1-D6FC-4f65-9D91-7224C49458BB}">
                  <c15:dlblFieldTable/>
                  <c15:showDataLabelsRange val="0"/>
                </c:ext>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Punto 1</c:v>
                </c:pt>
                <c:pt idx="1">
                  <c:v>Punto 2</c:v>
                </c:pt>
                <c:pt idx="2">
                  <c:v>Punto 3</c:v>
                </c:pt>
              </c:strCache>
            </c:strRef>
          </c:cat>
          <c:val>
            <c:numRef>
              <c:f>Hoja1!$B$2:$B$4</c:f>
              <c:numCache>
                <c:formatCode>ge\r\a\l</c:formatCode>
                <c:ptCount val="3"/>
                <c:pt idx="0">
                  <c:v>1</c:v>
                </c:pt>
                <c:pt idx="1">
                  <c:v>1.6</c:v>
                </c:pt>
                <c:pt idx="2">
                  <c:v>2.4</c:v>
                </c:pt>
              </c:numCache>
            </c:numRef>
          </c:val>
          <c:extLst xmlns:c16r2="http://schemas.microsoft.com/office/drawing/2015/06/chart">
            <c:ext xmlns:c16="http://schemas.microsoft.com/office/drawing/2014/chart" uri="{C3380CC4-5D6E-409C-BE32-E72D297353CC}">
              <c16:uniqueId val="{00000004-B9DB-4241-80CA-E514D9E538C1}"/>
            </c:ext>
          </c:extLst>
        </c:ser>
        <c:dLbls>
          <c:dLblPos val="outEnd"/>
          <c:showLegendKey val="0"/>
          <c:showVal val="1"/>
          <c:showCatName val="0"/>
          <c:showSerName val="0"/>
          <c:showPercent val="0"/>
          <c:showBubbleSize val="0"/>
        </c:dLbls>
        <c:gapWidth val="100"/>
        <c:axId val="871163000"/>
        <c:axId val="871163392"/>
      </c:barChart>
      <c:catAx>
        <c:axId val="871163000"/>
        <c:scaling>
          <c:orientation val="minMax"/>
        </c:scaling>
        <c:delete val="0"/>
        <c:axPos val="b"/>
        <c:title>
          <c:tx>
            <c:rich>
              <a:bodyPr rot="0" vert="horz"/>
              <a:lstStyle/>
              <a:p>
                <a:pPr>
                  <a:defRPr/>
                </a:pPr>
                <a:r>
                  <a:rPr lang="es-EC"/>
                  <a:t>Nitratos [mg/L]</a:t>
                </a:r>
              </a:p>
            </c:rich>
          </c:tx>
          <c:layout>
            <c:manualLayout>
              <c:xMode val="edge"/>
              <c:yMode val="edge"/>
              <c:x val="0.4413009673225875"/>
              <c:y val="0.873507003213383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871163392"/>
        <c:crosses val="autoZero"/>
        <c:auto val="1"/>
        <c:lblAlgn val="ctr"/>
        <c:lblOffset val="100"/>
        <c:noMultiLvlLbl val="0"/>
      </c:catAx>
      <c:valAx>
        <c:axId val="871163392"/>
        <c:scaling>
          <c:orientation val="minMax"/>
        </c:scaling>
        <c:delete val="0"/>
        <c:axPos val="l"/>
        <c:numFmt formatCode="ge\r\a\l" sourceLinked="1"/>
        <c:majorTickMark val="none"/>
        <c:minorTickMark val="none"/>
        <c:tickLblPos val="nextTo"/>
        <c:spPr>
          <a:noFill/>
          <a:ln>
            <a:noFill/>
          </a:ln>
          <a:effectLst/>
        </c:spPr>
        <c:txPr>
          <a:bodyPr rot="-60000000" vert="horz"/>
          <a:lstStyle/>
          <a:p>
            <a:pPr>
              <a:defRPr/>
            </a:pPr>
            <a:endParaRPr lang="es-EC"/>
          </a:p>
        </c:txPr>
        <c:crossAx val="871163000"/>
        <c:crosses val="autoZero"/>
        <c:crossBetween val="between"/>
      </c:valAx>
      <c:spPr>
        <a:noFill/>
        <a:ln>
          <a:noFill/>
        </a:ln>
        <a:effectLst/>
      </c:spPr>
    </c:plotArea>
    <c:legend>
      <c:legendPos val="b"/>
      <c:layout>
        <c:manualLayout>
          <c:xMode val="edge"/>
          <c:yMode val="edge"/>
          <c:x val="0.33094214785651788"/>
          <c:y val="4.4146356705411789E-2"/>
          <c:w val="0.31959700349956255"/>
          <c:h val="6.6964754405699281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4213680478101"/>
          <c:y val="7.4450084602368863E-2"/>
          <c:w val="0.84057088001420543"/>
          <c:h val="0.5872811330055826"/>
        </c:manualLayout>
      </c:layout>
      <c:barChart>
        <c:barDir val="col"/>
        <c:grouping val="clustered"/>
        <c:varyColors val="0"/>
        <c:ser>
          <c:idx val="0"/>
          <c:order val="0"/>
          <c:tx>
            <c:strRef>
              <c:f>Hoja1!$B$1</c:f>
              <c:strCache>
                <c:ptCount val="1"/>
                <c:pt idx="0">
                  <c:v>DBO5</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noFill/>
              <a:round/>
            </a:ln>
            <a:effectLst/>
          </c:spPr>
          <c:invertIfNegative val="0"/>
          <c:dPt>
            <c:idx val="0"/>
            <c:invertIfNegative val="0"/>
            <c:bubble3D val="0"/>
            <c:spPr>
              <a:solidFill>
                <a:schemeClr val="accent6">
                  <a:lumMod val="60000"/>
                  <a:lumOff val="40000"/>
                </a:schemeClr>
              </a:solidFill>
              <a:ln w="9525" cap="flat" cmpd="sng" algn="ctr">
                <a:noFill/>
                <a:round/>
              </a:ln>
              <a:effectLst/>
            </c:spPr>
            <c:extLst xmlns:c16r2="http://schemas.microsoft.com/office/drawing/2015/06/chart">
              <c:ext xmlns:c16="http://schemas.microsoft.com/office/drawing/2014/chart" uri="{C3380CC4-5D6E-409C-BE32-E72D297353CC}">
                <c16:uniqueId val="{00000001-D1A5-4443-BADE-C57F76FEBDF2}"/>
              </c:ext>
            </c:extLst>
          </c:dPt>
          <c:dPt>
            <c:idx val="1"/>
            <c:invertIfNegative val="0"/>
            <c:bubble3D val="0"/>
            <c:spPr>
              <a:solidFill>
                <a:schemeClr val="accent2">
                  <a:lumMod val="75000"/>
                </a:schemeClr>
              </a:solidFill>
              <a:ln w="9525" cap="flat" cmpd="sng" algn="ctr">
                <a:noFill/>
                <a:round/>
              </a:ln>
              <a:effectLst/>
            </c:spPr>
            <c:extLst xmlns:c16r2="http://schemas.microsoft.com/office/drawing/2015/06/chart">
              <c:ext xmlns:c16="http://schemas.microsoft.com/office/drawing/2014/chart" uri="{C3380CC4-5D6E-409C-BE32-E72D297353CC}">
                <c16:uniqueId val="{00000003-D1A5-4443-BADE-C57F76FEBDF2}"/>
              </c:ext>
            </c:extLst>
          </c:dPt>
          <c:dLbls>
            <c:dLbl>
              <c:idx val="0"/>
              <c:tx>
                <c:rich>
                  <a:bodyPr/>
                  <a:lstStyle/>
                  <a:p>
                    <a:r>
                      <a:rPr lang="en-US"/>
                      <a:t>0,90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A5-4443-BADE-C57F76FEBDF2}"/>
                </c:ext>
                <c:ext xmlns:c15="http://schemas.microsoft.com/office/drawing/2012/chart" uri="{CE6537A1-D6FC-4f65-9D91-7224C49458BB}"/>
              </c:extLst>
            </c:dLbl>
            <c:dLbl>
              <c:idx val="1"/>
              <c:tx>
                <c:rich>
                  <a:bodyPr/>
                  <a:lstStyle/>
                  <a:p>
                    <a:fld id="{1E4268C4-1084-43D8-8DC5-317CD8FB29CC}" type="VALUE">
                      <a:rPr lang="en-US"/>
                      <a:pPr/>
                      <a:t>[VALOR]</a:t>
                    </a:fld>
                    <a:endParaRPr lang="es-EC"/>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A5-4443-BADE-C57F76FEBDF2}"/>
                </c:ext>
                <c:ext xmlns:c15="http://schemas.microsoft.com/office/drawing/2012/chart" uri="{CE6537A1-D6FC-4f65-9D91-7224C49458BB}">
                  <c15:dlblFieldTable/>
                  <c15:showDataLabelsRange val="0"/>
                </c:ext>
              </c:extLst>
            </c:dLbl>
            <c:dLbl>
              <c:idx val="2"/>
              <c:tx>
                <c:rich>
                  <a:bodyPr/>
                  <a:lstStyle/>
                  <a:p>
                    <a:fld id="{753B710E-13A2-4C77-9F3D-000B35F2D15F}" type="VALUE">
                      <a:rPr lang="en-US"/>
                      <a:pPr/>
                      <a:t>[VALOR]</a:t>
                    </a:fld>
                    <a:endParaRPr lang="es-EC"/>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A5-4443-BADE-C57F76FEBDF2}"/>
                </c:ext>
                <c:ext xmlns:c15="http://schemas.microsoft.com/office/drawing/2012/chart" uri="{CE6537A1-D6FC-4f65-9D91-7224C49458BB}">
                  <c15:dlblFieldTable/>
                  <c15:showDataLabelsRange val="0"/>
                </c:ext>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Punto 1</c:v>
                </c:pt>
                <c:pt idx="1">
                  <c:v>Punto 2</c:v>
                </c:pt>
                <c:pt idx="2">
                  <c:v>Punto 3</c:v>
                </c:pt>
              </c:strCache>
            </c:strRef>
          </c:cat>
          <c:val>
            <c:numRef>
              <c:f>Hoja1!$B$2:$B$4</c:f>
              <c:numCache>
                <c:formatCode>ge\r\a\l</c:formatCode>
                <c:ptCount val="3"/>
                <c:pt idx="0">
                  <c:v>0.9</c:v>
                </c:pt>
                <c:pt idx="1">
                  <c:v>0.71</c:v>
                </c:pt>
                <c:pt idx="2">
                  <c:v>2.36</c:v>
                </c:pt>
              </c:numCache>
            </c:numRef>
          </c:val>
          <c:extLst xmlns:c16r2="http://schemas.microsoft.com/office/drawing/2015/06/chart">
            <c:ext xmlns:c16="http://schemas.microsoft.com/office/drawing/2014/chart" uri="{C3380CC4-5D6E-409C-BE32-E72D297353CC}">
              <c16:uniqueId val="{00000005-D1A5-4443-BADE-C57F76FEBDF2}"/>
            </c:ext>
          </c:extLst>
        </c:ser>
        <c:dLbls>
          <c:dLblPos val="outEnd"/>
          <c:showLegendKey val="0"/>
          <c:showVal val="1"/>
          <c:showCatName val="0"/>
          <c:showSerName val="0"/>
          <c:showPercent val="0"/>
          <c:showBubbleSize val="0"/>
        </c:dLbls>
        <c:gapWidth val="100"/>
        <c:axId val="901913336"/>
        <c:axId val="901905496"/>
      </c:barChart>
      <c:catAx>
        <c:axId val="901913336"/>
        <c:scaling>
          <c:orientation val="minMax"/>
        </c:scaling>
        <c:delete val="0"/>
        <c:axPos val="b"/>
        <c:title>
          <c:tx>
            <c:rich>
              <a:bodyPr rot="0" vert="horz"/>
              <a:lstStyle/>
              <a:p>
                <a:pPr>
                  <a:defRPr/>
                </a:pPr>
                <a:r>
                  <a:rPr lang="es-EC"/>
                  <a:t>Fosfatos [mg/L]</a:t>
                </a:r>
              </a:p>
            </c:rich>
          </c:tx>
          <c:layout>
            <c:manualLayout>
              <c:xMode val="edge"/>
              <c:yMode val="edge"/>
              <c:x val="0.44230926736694914"/>
              <c:y val="0.8498714310457385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901905496"/>
        <c:crosses val="autoZero"/>
        <c:auto val="1"/>
        <c:lblAlgn val="ctr"/>
        <c:lblOffset val="100"/>
        <c:noMultiLvlLbl val="0"/>
      </c:catAx>
      <c:valAx>
        <c:axId val="901905496"/>
        <c:scaling>
          <c:orientation val="minMax"/>
        </c:scaling>
        <c:delete val="0"/>
        <c:axPos val="l"/>
        <c:numFmt formatCode="ge\r\a\l" sourceLinked="1"/>
        <c:majorTickMark val="none"/>
        <c:minorTickMark val="none"/>
        <c:tickLblPos val="nextTo"/>
        <c:spPr>
          <a:noFill/>
          <a:ln>
            <a:noFill/>
          </a:ln>
          <a:effectLst/>
        </c:spPr>
        <c:txPr>
          <a:bodyPr rot="-60000000" vert="horz"/>
          <a:lstStyle/>
          <a:p>
            <a:pPr>
              <a:defRPr/>
            </a:pPr>
            <a:endParaRPr lang="es-EC"/>
          </a:p>
        </c:txPr>
        <c:crossAx val="901913336"/>
        <c:crosses val="autoZero"/>
        <c:crossBetween val="between"/>
      </c:valAx>
      <c:spPr>
        <a:noFill/>
        <a:ln>
          <a:noFill/>
        </a:ln>
        <a:effectLst/>
      </c:spPr>
    </c:plotArea>
    <c:legend>
      <c:legendPos val="b"/>
      <c:layout>
        <c:manualLayout>
          <c:xMode val="edge"/>
          <c:yMode val="edge"/>
          <c:x val="0.33094214785651788"/>
          <c:y val="4.4146356705411789E-2"/>
          <c:w val="0.31959700349956255"/>
          <c:h val="6.6964754405699281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89269423846297E-2"/>
          <c:y val="7.2968490878938641E-2"/>
          <c:w val="0.89383176617485927"/>
          <c:h val="0.66846293467047957"/>
        </c:manualLayout>
      </c:layout>
      <c:barChart>
        <c:barDir val="col"/>
        <c:grouping val="clustered"/>
        <c:varyColors val="0"/>
        <c:ser>
          <c:idx val="0"/>
          <c:order val="0"/>
          <c:tx>
            <c:strRef>
              <c:f>Hoja1!$B$1</c:f>
              <c:strCache>
                <c:ptCount val="1"/>
                <c:pt idx="0">
                  <c:v>cambio de temperatura</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noFill/>
              <a:round/>
            </a:ln>
            <a:effectLst/>
          </c:spPr>
          <c:invertIfNegative val="0"/>
          <c:dPt>
            <c:idx val="0"/>
            <c:invertIfNegative val="0"/>
            <c:bubble3D val="0"/>
            <c:spPr>
              <a:solidFill>
                <a:schemeClr val="accent6">
                  <a:lumMod val="60000"/>
                  <a:lumOff val="40000"/>
                </a:schemeClr>
              </a:solidFill>
              <a:ln w="9525" cap="flat" cmpd="sng" algn="ctr">
                <a:noFill/>
                <a:round/>
              </a:ln>
              <a:effectLst/>
            </c:spPr>
            <c:extLst xmlns:c16r2="http://schemas.microsoft.com/office/drawing/2015/06/chart">
              <c:ext xmlns:c16="http://schemas.microsoft.com/office/drawing/2014/chart" uri="{C3380CC4-5D6E-409C-BE32-E72D297353CC}">
                <c16:uniqueId val="{00000001-86C5-42C2-9214-7FD6DEEBBF96}"/>
              </c:ext>
            </c:extLst>
          </c:dPt>
          <c:dPt>
            <c:idx val="1"/>
            <c:invertIfNegative val="0"/>
            <c:bubble3D val="0"/>
            <c:spPr>
              <a:solidFill>
                <a:schemeClr val="accent2">
                  <a:lumMod val="75000"/>
                </a:schemeClr>
              </a:solidFill>
              <a:ln w="9525" cap="flat" cmpd="sng" algn="ctr">
                <a:noFill/>
                <a:round/>
              </a:ln>
              <a:effectLst/>
            </c:spPr>
            <c:extLst xmlns:c16r2="http://schemas.microsoft.com/office/drawing/2015/06/chart">
              <c:ext xmlns:c16="http://schemas.microsoft.com/office/drawing/2014/chart" uri="{C3380CC4-5D6E-409C-BE32-E72D297353CC}">
                <c16:uniqueId val="{00000003-86C5-42C2-9214-7FD6DEEBBF96}"/>
              </c:ext>
            </c:extLst>
          </c:dPt>
          <c:dLbls>
            <c:dLbl>
              <c:idx val="0"/>
              <c:tx>
                <c:rich>
                  <a:bodyPr/>
                  <a:lstStyle/>
                  <a:p>
                    <a:r>
                      <a:rPr lang="en-US"/>
                      <a:t>0,70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6C5-42C2-9214-7FD6DEEBBF96}"/>
                </c:ext>
                <c:ext xmlns:c15="http://schemas.microsoft.com/office/drawing/2012/chart" uri="{CE6537A1-D6FC-4f65-9D91-7224C49458BB}"/>
              </c:extLst>
            </c:dLbl>
            <c:dLbl>
              <c:idx val="1"/>
              <c:tx>
                <c:rich>
                  <a:bodyPr/>
                  <a:lstStyle/>
                  <a:p>
                    <a:fld id="{1E4268C4-1084-43D8-8DC5-317CD8FB29CC}" type="VALUE">
                      <a:rPr lang="en-US"/>
                      <a:pPr/>
                      <a:t>[VALOR]</a:t>
                    </a:fld>
                    <a:endParaRPr lang="es-EC"/>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6C5-42C2-9214-7FD6DEEBBF96}"/>
                </c:ext>
                <c:ext xmlns:c15="http://schemas.microsoft.com/office/drawing/2012/chart" uri="{CE6537A1-D6FC-4f65-9D91-7224C49458BB}">
                  <c15:dlblFieldTable/>
                  <c15:showDataLabelsRange val="0"/>
                </c:ext>
              </c:extLst>
            </c:dLbl>
            <c:dLbl>
              <c:idx val="2"/>
              <c:tx>
                <c:rich>
                  <a:bodyPr/>
                  <a:lstStyle/>
                  <a:p>
                    <a:fld id="{753B710E-13A2-4C77-9F3D-000B35F2D15F}" type="VALUE">
                      <a:rPr lang="en-US"/>
                      <a:pPr/>
                      <a:t>[VALOR]</a:t>
                    </a:fld>
                    <a:endParaRPr lang="es-EC"/>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6C5-42C2-9214-7FD6DEEBBF96}"/>
                </c:ext>
                <c:ext xmlns:c15="http://schemas.microsoft.com/office/drawing/2012/chart" uri="{CE6537A1-D6FC-4f65-9D91-7224C49458BB}">
                  <c15:dlblFieldTable/>
                  <c15:showDataLabelsRange val="0"/>
                </c:ext>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Punto 1</c:v>
                </c:pt>
                <c:pt idx="1">
                  <c:v>Punto 2</c:v>
                </c:pt>
                <c:pt idx="2">
                  <c:v>Punto 3</c:v>
                </c:pt>
              </c:strCache>
            </c:strRef>
          </c:cat>
          <c:val>
            <c:numRef>
              <c:f>Hoja1!$B$2:$B$4</c:f>
              <c:numCache>
                <c:formatCode>###,000</c:formatCode>
                <c:ptCount val="3"/>
                <c:pt idx="0">
                  <c:v>0.7</c:v>
                </c:pt>
                <c:pt idx="1">
                  <c:v>0.9</c:v>
                </c:pt>
                <c:pt idx="2">
                  <c:v>1</c:v>
                </c:pt>
              </c:numCache>
            </c:numRef>
          </c:val>
          <c:extLst xmlns:c16r2="http://schemas.microsoft.com/office/drawing/2015/06/chart">
            <c:ext xmlns:c16="http://schemas.microsoft.com/office/drawing/2014/chart" uri="{C3380CC4-5D6E-409C-BE32-E72D297353CC}">
              <c16:uniqueId val="{00000005-86C5-42C2-9214-7FD6DEEBBF96}"/>
            </c:ext>
          </c:extLst>
        </c:ser>
        <c:dLbls>
          <c:dLblPos val="outEnd"/>
          <c:showLegendKey val="0"/>
          <c:showVal val="1"/>
          <c:showCatName val="0"/>
          <c:showSerName val="0"/>
          <c:showPercent val="0"/>
          <c:showBubbleSize val="0"/>
        </c:dLbls>
        <c:gapWidth val="100"/>
        <c:axId val="901904320"/>
        <c:axId val="901912160"/>
      </c:barChart>
      <c:catAx>
        <c:axId val="901904320"/>
        <c:scaling>
          <c:orientation val="minMax"/>
        </c:scaling>
        <c:delete val="0"/>
        <c:axPos val="b"/>
        <c:title>
          <c:tx>
            <c:rich>
              <a:bodyPr rot="0" vert="horz"/>
              <a:lstStyle/>
              <a:p>
                <a:pPr>
                  <a:defRPr/>
                </a:pPr>
                <a:r>
                  <a:rPr lang="es-EC"/>
                  <a:t>cambio de temperatura [ </a:t>
                </a:r>
                <a:r>
                  <a:rPr lang="he-IL"/>
                  <a:t>֯</a:t>
                </a:r>
                <a:r>
                  <a:rPr lang="es-EC"/>
                  <a:t>C ] </a:t>
                </a:r>
              </a:p>
            </c:rich>
          </c:tx>
          <c:layout>
            <c:manualLayout>
              <c:xMode val="edge"/>
              <c:yMode val="edge"/>
              <c:x val="0.39731955380577438"/>
              <c:y val="0.881507311586051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901912160"/>
        <c:crosses val="autoZero"/>
        <c:auto val="1"/>
        <c:lblAlgn val="ctr"/>
        <c:lblOffset val="100"/>
        <c:noMultiLvlLbl val="0"/>
      </c:catAx>
      <c:valAx>
        <c:axId val="901912160"/>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901904320"/>
        <c:crosses val="autoZero"/>
        <c:crossBetween val="between"/>
      </c:valAx>
      <c:spPr>
        <a:noFill/>
        <a:ln>
          <a:noFill/>
        </a:ln>
        <a:effectLst/>
      </c:spPr>
    </c:plotArea>
    <c:legend>
      <c:legendPos val="b"/>
      <c:layout>
        <c:manualLayout>
          <c:xMode val="edge"/>
          <c:yMode val="edge"/>
          <c:x val="0.33094214785651788"/>
          <c:y val="4.4146356705411789E-2"/>
          <c:w val="0.31959700349956255"/>
          <c:h val="6.6964754405699281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507771260136107E-2"/>
          <c:y val="0.15065913370998116"/>
          <c:w val="0.87768089391510629"/>
          <c:h val="0.6159757996352152"/>
        </c:manualLayout>
      </c:layout>
      <c:barChart>
        <c:barDir val="col"/>
        <c:grouping val="clustered"/>
        <c:varyColors val="0"/>
        <c:ser>
          <c:idx val="0"/>
          <c:order val="0"/>
          <c:tx>
            <c:strRef>
              <c:f>Hoja1!$B$1</c:f>
              <c:strCache>
                <c:ptCount val="1"/>
                <c:pt idx="0">
                  <c:v>Turbidez</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noFill/>
              <a:round/>
            </a:ln>
            <a:effectLst/>
          </c:spPr>
          <c:invertIfNegative val="0"/>
          <c:dPt>
            <c:idx val="0"/>
            <c:invertIfNegative val="0"/>
            <c:bubble3D val="0"/>
            <c:spPr>
              <a:solidFill>
                <a:schemeClr val="accent6">
                  <a:lumMod val="60000"/>
                  <a:lumOff val="40000"/>
                </a:schemeClr>
              </a:solidFill>
              <a:ln w="9525" cap="flat" cmpd="sng" algn="ctr">
                <a:noFill/>
                <a:round/>
              </a:ln>
              <a:effectLst/>
            </c:spPr>
            <c:extLst xmlns:c16r2="http://schemas.microsoft.com/office/drawing/2015/06/chart">
              <c:ext xmlns:c16="http://schemas.microsoft.com/office/drawing/2014/chart" uri="{C3380CC4-5D6E-409C-BE32-E72D297353CC}">
                <c16:uniqueId val="{00000001-8A6C-4FAF-97D5-CAABC347CBDB}"/>
              </c:ext>
            </c:extLst>
          </c:dPt>
          <c:dPt>
            <c:idx val="1"/>
            <c:invertIfNegative val="0"/>
            <c:bubble3D val="0"/>
            <c:spPr>
              <a:solidFill>
                <a:schemeClr val="accent2">
                  <a:lumMod val="75000"/>
                </a:schemeClr>
              </a:solidFill>
              <a:ln w="9525" cap="flat" cmpd="sng" algn="ctr">
                <a:noFill/>
                <a:round/>
              </a:ln>
              <a:effectLst/>
            </c:spPr>
            <c:extLst xmlns:c16r2="http://schemas.microsoft.com/office/drawing/2015/06/chart">
              <c:ext xmlns:c16="http://schemas.microsoft.com/office/drawing/2014/chart" uri="{C3380CC4-5D6E-409C-BE32-E72D297353CC}">
                <c16:uniqueId val="{00000003-8A6C-4FAF-97D5-CAABC347CBDB}"/>
              </c:ext>
            </c:extLst>
          </c:dPt>
          <c:dLbls>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Punto 1</c:v>
                </c:pt>
                <c:pt idx="1">
                  <c:v>Punto 2</c:v>
                </c:pt>
                <c:pt idx="2">
                  <c:v>Punto 3</c:v>
                </c:pt>
              </c:strCache>
            </c:strRef>
          </c:cat>
          <c:val>
            <c:numRef>
              <c:f>Hoja1!$B$2:$B$4</c:f>
              <c:numCache>
                <c:formatCode>###,000</c:formatCode>
                <c:ptCount val="3"/>
                <c:pt idx="0">
                  <c:v>6.55</c:v>
                </c:pt>
                <c:pt idx="1">
                  <c:v>20.8</c:v>
                </c:pt>
                <c:pt idx="2">
                  <c:v>7.12</c:v>
                </c:pt>
              </c:numCache>
            </c:numRef>
          </c:val>
          <c:extLst xmlns:c16r2="http://schemas.microsoft.com/office/drawing/2015/06/chart">
            <c:ext xmlns:c16="http://schemas.microsoft.com/office/drawing/2014/chart" uri="{C3380CC4-5D6E-409C-BE32-E72D297353CC}">
              <c16:uniqueId val="{00000005-8A6C-4FAF-97D5-CAABC347CBDB}"/>
            </c:ext>
          </c:extLst>
        </c:ser>
        <c:dLbls>
          <c:dLblPos val="outEnd"/>
          <c:showLegendKey val="0"/>
          <c:showVal val="1"/>
          <c:showCatName val="0"/>
          <c:showSerName val="0"/>
          <c:showPercent val="0"/>
          <c:showBubbleSize val="0"/>
        </c:dLbls>
        <c:gapWidth val="100"/>
        <c:axId val="901908632"/>
        <c:axId val="901909416"/>
      </c:barChart>
      <c:catAx>
        <c:axId val="901908632"/>
        <c:scaling>
          <c:orientation val="minMax"/>
        </c:scaling>
        <c:delete val="0"/>
        <c:axPos val="b"/>
        <c:title>
          <c:tx>
            <c:rich>
              <a:bodyPr rot="0" vert="horz"/>
              <a:lstStyle/>
              <a:p>
                <a:pPr>
                  <a:defRPr/>
                </a:pPr>
                <a:r>
                  <a:rPr lang="es-EC"/>
                  <a:t>turbidez [</a:t>
                </a:r>
                <a:r>
                  <a:rPr lang="en-US"/>
                  <a:t> NTU</a:t>
                </a:r>
                <a:r>
                  <a:rPr lang="es-EC"/>
                  <a:t>]</a:t>
                </a:r>
              </a:p>
            </c:rich>
          </c:tx>
          <c:layout>
            <c:manualLayout>
              <c:xMode val="edge"/>
              <c:yMode val="edge"/>
              <c:x val="0.43898622047244101"/>
              <c:y val="0.8854755655543057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901909416"/>
        <c:crosses val="autoZero"/>
        <c:auto val="1"/>
        <c:lblAlgn val="ctr"/>
        <c:lblOffset val="100"/>
        <c:noMultiLvlLbl val="0"/>
      </c:catAx>
      <c:valAx>
        <c:axId val="901909416"/>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901908632"/>
        <c:crosses val="autoZero"/>
        <c:crossBetween val="between"/>
      </c:valAx>
      <c:spPr>
        <a:noFill/>
        <a:ln>
          <a:noFill/>
        </a:ln>
        <a:effectLst/>
      </c:spPr>
    </c:plotArea>
    <c:legend>
      <c:legendPos val="b"/>
      <c:layout>
        <c:manualLayout>
          <c:xMode val="edge"/>
          <c:yMode val="edge"/>
          <c:x val="0.33094214785651788"/>
          <c:y val="4.4146356705411789E-2"/>
          <c:w val="0.31959700349956255"/>
          <c:h val="6.6964754405699281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908975736485078E-2"/>
          <c:y val="0.13361889763779528"/>
          <c:w val="0.89265679875555271"/>
          <c:h val="0.55765009373828267"/>
        </c:manualLayout>
      </c:layout>
      <c:barChart>
        <c:barDir val="col"/>
        <c:grouping val="clustered"/>
        <c:varyColors val="0"/>
        <c:ser>
          <c:idx val="0"/>
          <c:order val="0"/>
          <c:tx>
            <c:strRef>
              <c:f>Hoja1!$B$1</c:f>
              <c:strCache>
                <c:ptCount val="1"/>
                <c:pt idx="0">
                  <c:v>SOLIDOS TOTALES DISUELTOS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noFill/>
              <a:round/>
            </a:ln>
            <a:effectLst/>
          </c:spPr>
          <c:invertIfNegative val="0"/>
          <c:dPt>
            <c:idx val="0"/>
            <c:invertIfNegative val="0"/>
            <c:bubble3D val="0"/>
            <c:spPr>
              <a:solidFill>
                <a:schemeClr val="accent6">
                  <a:lumMod val="60000"/>
                  <a:lumOff val="40000"/>
                </a:schemeClr>
              </a:solidFill>
              <a:ln w="9525" cap="flat" cmpd="sng" algn="ctr">
                <a:noFill/>
                <a:round/>
              </a:ln>
              <a:effectLst/>
            </c:spPr>
            <c:extLst xmlns:c16r2="http://schemas.microsoft.com/office/drawing/2015/06/chart">
              <c:ext xmlns:c16="http://schemas.microsoft.com/office/drawing/2014/chart" uri="{C3380CC4-5D6E-409C-BE32-E72D297353CC}">
                <c16:uniqueId val="{00000001-FB3D-4D28-8C9B-DB1AB3633FD9}"/>
              </c:ext>
            </c:extLst>
          </c:dPt>
          <c:dPt>
            <c:idx val="1"/>
            <c:invertIfNegative val="0"/>
            <c:bubble3D val="0"/>
            <c:spPr>
              <a:solidFill>
                <a:schemeClr val="accent2">
                  <a:lumMod val="75000"/>
                </a:schemeClr>
              </a:solidFill>
              <a:ln w="9525" cap="flat" cmpd="sng" algn="ctr">
                <a:noFill/>
                <a:round/>
              </a:ln>
              <a:effectLst/>
            </c:spPr>
            <c:extLst xmlns:c16r2="http://schemas.microsoft.com/office/drawing/2015/06/chart">
              <c:ext xmlns:c16="http://schemas.microsoft.com/office/drawing/2014/chart" uri="{C3380CC4-5D6E-409C-BE32-E72D297353CC}">
                <c16:uniqueId val="{00000003-FB3D-4D28-8C9B-DB1AB3633FD9}"/>
              </c:ext>
            </c:extLst>
          </c:dPt>
          <c:dLbls>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Punto 1</c:v>
                </c:pt>
                <c:pt idx="1">
                  <c:v>Punto 2</c:v>
                </c:pt>
                <c:pt idx="2">
                  <c:v>Punto 3</c:v>
                </c:pt>
              </c:strCache>
            </c:strRef>
          </c:cat>
          <c:val>
            <c:numRef>
              <c:f>Hoja1!$B$2:$B$4</c:f>
              <c:numCache>
                <c:formatCode>###,000</c:formatCode>
                <c:ptCount val="3"/>
                <c:pt idx="0">
                  <c:v>315</c:v>
                </c:pt>
                <c:pt idx="1">
                  <c:v>368</c:v>
                </c:pt>
                <c:pt idx="2">
                  <c:v>550</c:v>
                </c:pt>
              </c:numCache>
            </c:numRef>
          </c:val>
          <c:extLst xmlns:c16r2="http://schemas.microsoft.com/office/drawing/2015/06/chart">
            <c:ext xmlns:c16="http://schemas.microsoft.com/office/drawing/2014/chart" uri="{C3380CC4-5D6E-409C-BE32-E72D297353CC}">
              <c16:uniqueId val="{00000004-FB3D-4D28-8C9B-DB1AB3633FD9}"/>
            </c:ext>
          </c:extLst>
        </c:ser>
        <c:dLbls>
          <c:dLblPos val="outEnd"/>
          <c:showLegendKey val="0"/>
          <c:showVal val="1"/>
          <c:showCatName val="0"/>
          <c:showSerName val="0"/>
          <c:showPercent val="0"/>
          <c:showBubbleSize val="0"/>
        </c:dLbls>
        <c:gapWidth val="100"/>
        <c:axId val="901911376"/>
        <c:axId val="901915296"/>
      </c:barChart>
      <c:catAx>
        <c:axId val="901911376"/>
        <c:scaling>
          <c:orientation val="minMax"/>
        </c:scaling>
        <c:delete val="0"/>
        <c:axPos val="b"/>
        <c:title>
          <c:tx>
            <c:rich>
              <a:bodyPr rot="0" vert="horz"/>
              <a:lstStyle/>
              <a:p>
                <a:pPr>
                  <a:defRPr/>
                </a:pPr>
                <a:r>
                  <a:rPr lang="es-EC"/>
                  <a:t>Solidos totales disueltos [</a:t>
                </a:r>
                <a:r>
                  <a:rPr lang="en-US"/>
                  <a:t> mg/L</a:t>
                </a:r>
                <a:r>
                  <a:rPr lang="es-EC"/>
                  <a:t>]</a:t>
                </a:r>
              </a:p>
            </c:rich>
          </c:tx>
          <c:layout>
            <c:manualLayout>
              <c:xMode val="edge"/>
              <c:yMode val="edge"/>
              <c:x val="0.33023226475509304"/>
              <c:y val="0.8390869141357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901915296"/>
        <c:crosses val="autoZero"/>
        <c:auto val="1"/>
        <c:lblAlgn val="ctr"/>
        <c:lblOffset val="100"/>
        <c:noMultiLvlLbl val="0"/>
      </c:catAx>
      <c:valAx>
        <c:axId val="901915296"/>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901911376"/>
        <c:crosses val="autoZero"/>
        <c:crossBetween val="between"/>
      </c:valAx>
      <c:spPr>
        <a:noFill/>
        <a:ln>
          <a:noFill/>
        </a:ln>
        <a:effectLst/>
      </c:spPr>
    </c:plotArea>
    <c:legend>
      <c:legendPos val="b"/>
      <c:layout>
        <c:manualLayout>
          <c:xMode val="edge"/>
          <c:yMode val="edge"/>
          <c:x val="0.33094214785651788"/>
          <c:y val="4.4146356705411789E-2"/>
          <c:w val="0.31959700349956255"/>
          <c:h val="6.6964754405699281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92D050"/>
    </a:accent1>
    <a:accent2>
      <a:srgbClr val="9CC3E5"/>
    </a:accent2>
    <a:accent3>
      <a:srgbClr val="FFD96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92D050"/>
    </a:accent1>
    <a:accent2>
      <a:srgbClr val="9CC3E5"/>
    </a:accent2>
    <a:accent3>
      <a:srgbClr val="FFD96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92D050"/>
    </a:accent1>
    <a:accent2>
      <a:srgbClr val="9CC3E5"/>
    </a:accent2>
    <a:accent3>
      <a:srgbClr val="FFD96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92D050"/>
    </a:accent1>
    <a:accent2>
      <a:srgbClr val="9CC3E5"/>
    </a:accent2>
    <a:accent3>
      <a:srgbClr val="FFD96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92D050"/>
    </a:accent1>
    <a:accent2>
      <a:srgbClr val="9CC3E5"/>
    </a:accent2>
    <a:accent3>
      <a:srgbClr val="FFD96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92D050"/>
    </a:accent1>
    <a:accent2>
      <a:srgbClr val="9CC3E5"/>
    </a:accent2>
    <a:accent3>
      <a:srgbClr val="FFD96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92D050"/>
    </a:accent1>
    <a:accent2>
      <a:srgbClr val="9CC3E5"/>
    </a:accent2>
    <a:accent3>
      <a:srgbClr val="FFD96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ersonalizado 1">
    <a:dk1>
      <a:sysClr val="windowText" lastClr="000000"/>
    </a:dk1>
    <a:lt1>
      <a:sysClr val="window" lastClr="FFFFFF"/>
    </a:lt1>
    <a:dk2>
      <a:srgbClr val="44546A"/>
    </a:dk2>
    <a:lt2>
      <a:srgbClr val="E7E6E6"/>
    </a:lt2>
    <a:accent1>
      <a:srgbClr val="92D050"/>
    </a:accent1>
    <a:accent2>
      <a:srgbClr val="9CC3E5"/>
    </a:accent2>
    <a:accent3>
      <a:srgbClr val="FFD96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CF02E-3101-4E1D-A7A9-9B1BB0501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7109</Words>
  <Characters>39101</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2021-06-18T22:18:00Z</cp:lastPrinted>
  <dcterms:created xsi:type="dcterms:W3CDTF">2021-06-18T22:17:00Z</dcterms:created>
  <dcterms:modified xsi:type="dcterms:W3CDTF">2021-06-18T22:35:00Z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